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0D91E" w14:textId="77777777"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b/>
          <w:color w:val="222222"/>
        </w:rPr>
      </w:pPr>
      <w:r w:rsidRPr="00B241A9">
        <w:rPr>
          <w:b/>
          <w:color w:val="222222"/>
        </w:rPr>
        <w:t>FRAMING</w:t>
      </w:r>
    </w:p>
    <w:p w14:paraId="274652E7" w14:textId="231C70B3"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Calibri"/>
          <w:color w:val="auto"/>
        </w:rPr>
      </w:pPr>
      <w:r w:rsidRPr="00B241A9">
        <w:rPr>
          <w:rFonts w:eastAsia="Calibri"/>
          <w:b/>
          <w:color w:val="auto"/>
        </w:rPr>
        <w:t>Translingualism</w:t>
      </w:r>
      <w:r w:rsidRPr="00B241A9">
        <w:rPr>
          <w:rFonts w:eastAsia="Calibri"/>
          <w:color w:val="auto"/>
        </w:rPr>
        <w:t xml:space="preserve">: Based in the work of scholars like Suresh </w:t>
      </w:r>
      <w:proofErr w:type="spellStart"/>
      <w:r w:rsidRPr="00B241A9">
        <w:rPr>
          <w:rFonts w:eastAsia="Calibri"/>
          <w:color w:val="auto"/>
        </w:rPr>
        <w:t>Canagarajah</w:t>
      </w:r>
      <w:proofErr w:type="spellEnd"/>
      <w:r w:rsidRPr="00B241A9">
        <w:rPr>
          <w:rFonts w:eastAsia="Calibri"/>
          <w:color w:val="auto"/>
        </w:rPr>
        <w:t xml:space="preserve">, Min-Zhan Lu, Bruce Horner, and more recently, Jay Jordan, I attempt to look at the ways in which language has evolved through acts of negotiation. Furthermore, I pay particular attention to </w:t>
      </w:r>
      <w:r w:rsidRPr="00B241A9">
        <w:rPr>
          <w:rFonts w:eastAsia="Calibri"/>
          <w:i/>
          <w:color w:val="auto"/>
        </w:rPr>
        <w:t xml:space="preserve">how </w:t>
      </w:r>
      <w:r w:rsidRPr="00B241A9">
        <w:rPr>
          <w:rFonts w:eastAsia="Calibri"/>
          <w:color w:val="auto"/>
        </w:rPr>
        <w:t>this happens through non-linguistic resources and material ecologies</w:t>
      </w:r>
      <w:r w:rsidR="00FE567B">
        <w:rPr>
          <w:rFonts w:eastAsia="Calibri"/>
          <w:color w:val="auto"/>
        </w:rPr>
        <w:t xml:space="preserve"> with</w:t>
      </w:r>
      <w:r w:rsidRPr="00B241A9">
        <w:rPr>
          <w:rFonts w:eastAsia="Calibri"/>
          <w:color w:val="auto"/>
        </w:rPr>
        <w:t xml:space="preserve">in the work of the Jesuits. I argue that the Jesuits took a translingual approach to rhetorical education. Rather than confining meaning to grammar or separating languages and rhetorical traditions, the Jesuits’ rhetorical works demonstrate an integrated view of languages, where the cultures of Europe and India work together and create new ways of </w:t>
      </w:r>
      <w:r w:rsidRPr="00B241A9">
        <w:rPr>
          <w:rFonts w:eastAsia="Calibri"/>
          <w:i/>
          <w:color w:val="auto"/>
        </w:rPr>
        <w:t xml:space="preserve">doing </w:t>
      </w:r>
      <w:r w:rsidRPr="00B241A9">
        <w:rPr>
          <w:rFonts w:eastAsia="Calibri"/>
          <w:color w:val="auto"/>
        </w:rPr>
        <w:t xml:space="preserve">rhetoric. </w:t>
      </w:r>
    </w:p>
    <w:p w14:paraId="4FE73D43" w14:textId="77777777"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color w:val="auto"/>
        </w:rPr>
      </w:pPr>
      <w:r w:rsidRPr="00B241A9">
        <w:rPr>
          <w:rFonts w:eastAsia="Calibri"/>
          <w:b/>
          <w:color w:val="auto"/>
        </w:rPr>
        <w:t>Comparative/Cultural Rhetoric</w:t>
      </w:r>
      <w:r w:rsidRPr="00B241A9">
        <w:rPr>
          <w:rFonts w:eastAsia="Calibri"/>
          <w:color w:val="auto"/>
        </w:rPr>
        <w:t xml:space="preserve">: Building on the work of scholars like Bo Wang and Lu-Ming Mao, I attempt to look at the cultural particularities of rhetoric in a way that is aware of my standpoint as a scholar and reflexively avoids the objectivity of the outsider’s perspective. Right now, this is mostly accounted for within the way in which I suggest the </w:t>
      </w:r>
      <w:proofErr w:type="spellStart"/>
      <w:r w:rsidRPr="00B241A9">
        <w:rPr>
          <w:rFonts w:eastAsia="Calibri"/>
          <w:color w:val="auto"/>
        </w:rPr>
        <w:t>rhetors</w:t>
      </w:r>
      <w:proofErr w:type="spellEnd"/>
      <w:r w:rsidRPr="00B241A9">
        <w:rPr>
          <w:rFonts w:eastAsia="Calibri"/>
          <w:color w:val="auto"/>
        </w:rPr>
        <w:t xml:space="preserve"> themselves use rhetoric reflexively.  </w:t>
      </w:r>
    </w:p>
    <w:p w14:paraId="752608E8" w14:textId="7AD8F131"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color w:val="auto"/>
        </w:rPr>
      </w:pPr>
      <w:r w:rsidRPr="00B241A9">
        <w:rPr>
          <w:rFonts w:eastAsia="Calibri"/>
          <w:b/>
          <w:color w:val="auto"/>
        </w:rPr>
        <w:t>Post-Secularism</w:t>
      </w:r>
      <w:r w:rsidRPr="00B241A9">
        <w:rPr>
          <w:rFonts w:eastAsia="Calibri"/>
          <w:color w:val="auto"/>
        </w:rPr>
        <w:t xml:space="preserve">: My study attempt to understand religion’s relationship with rhetoric, particularly rhetorical education. Like </w:t>
      </w:r>
      <w:proofErr w:type="spellStart"/>
      <w:r w:rsidRPr="00B241A9">
        <w:rPr>
          <w:rFonts w:eastAsia="Calibri"/>
          <w:color w:val="auto"/>
        </w:rPr>
        <w:t>Talal</w:t>
      </w:r>
      <w:proofErr w:type="spellEnd"/>
      <w:r w:rsidRPr="00B241A9">
        <w:rPr>
          <w:rFonts w:eastAsia="Calibri"/>
          <w:color w:val="auto"/>
        </w:rPr>
        <w:t xml:space="preserve"> </w:t>
      </w:r>
      <w:proofErr w:type="spellStart"/>
      <w:r w:rsidRPr="00B241A9">
        <w:rPr>
          <w:rFonts w:eastAsia="Calibri"/>
          <w:color w:val="auto"/>
        </w:rPr>
        <w:t>Asad</w:t>
      </w:r>
      <w:proofErr w:type="spellEnd"/>
      <w:r w:rsidRPr="00B241A9">
        <w:rPr>
          <w:rFonts w:eastAsia="Calibri"/>
          <w:color w:val="auto"/>
        </w:rPr>
        <w:t>, Saba Mahmood, and Charles Taylor, I understand religion as a constitutive practice imbricated in social practice and knowledge. To better understand religious rhetoric, then, I look for the particular ways in which it constructs knowledge—education, for instance, or rhetoric—and provides specific meaning and or interpretations for believers. I integrate the</w:t>
      </w:r>
      <w:r w:rsidR="00FE567B">
        <w:rPr>
          <w:rFonts w:eastAsia="Calibri"/>
          <w:color w:val="auto"/>
        </w:rPr>
        <w:t>ological texts for context</w:t>
      </w:r>
      <w:r>
        <w:rPr>
          <w:rFonts w:eastAsia="Calibri"/>
          <w:color w:val="auto"/>
        </w:rPr>
        <w:t xml:space="preserve"> and</w:t>
      </w:r>
      <w:r w:rsidRPr="00B241A9">
        <w:rPr>
          <w:rFonts w:eastAsia="Calibri"/>
          <w:color w:val="auto"/>
        </w:rPr>
        <w:t xml:space="preserve"> look at the ways in which religion not only influenced the form of rhetorical texts but their purpose and reception. Religion, in this sense, helps construct the </w:t>
      </w:r>
      <w:r w:rsidRPr="00B241A9">
        <w:rPr>
          <w:rFonts w:eastAsia="Calibri"/>
          <w:i/>
          <w:color w:val="auto"/>
        </w:rPr>
        <w:t>how</w:t>
      </w:r>
      <w:r w:rsidRPr="00B241A9">
        <w:rPr>
          <w:rFonts w:eastAsia="Calibri"/>
          <w:color w:val="auto"/>
        </w:rPr>
        <w:t xml:space="preserve"> as well as the </w:t>
      </w:r>
      <w:r w:rsidRPr="00B241A9">
        <w:rPr>
          <w:rFonts w:eastAsia="Calibri"/>
          <w:i/>
          <w:color w:val="auto"/>
        </w:rPr>
        <w:t>what</w:t>
      </w:r>
      <w:r w:rsidRPr="00B241A9">
        <w:rPr>
          <w:rFonts w:eastAsia="Calibri"/>
          <w:color w:val="auto"/>
        </w:rPr>
        <w:t xml:space="preserve"> and </w:t>
      </w:r>
      <w:r w:rsidRPr="00B241A9">
        <w:rPr>
          <w:rFonts w:eastAsia="Calibri"/>
          <w:i/>
          <w:color w:val="auto"/>
        </w:rPr>
        <w:t xml:space="preserve">why </w:t>
      </w:r>
      <w:r w:rsidRPr="00B241A9">
        <w:rPr>
          <w:rFonts w:eastAsia="Calibri"/>
          <w:color w:val="auto"/>
        </w:rPr>
        <w:t xml:space="preserve">of rhetoric.  </w:t>
      </w:r>
    </w:p>
    <w:p w14:paraId="4F3096C1" w14:textId="265E7253"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color w:val="auto"/>
        </w:rPr>
      </w:pPr>
      <w:r w:rsidRPr="00B241A9">
        <w:rPr>
          <w:rFonts w:eastAsia="Calibri"/>
          <w:b/>
          <w:color w:val="auto"/>
        </w:rPr>
        <w:t>Historiography</w:t>
      </w:r>
      <w:r w:rsidRPr="00B241A9">
        <w:rPr>
          <w:rFonts w:eastAsia="Calibri"/>
          <w:color w:val="auto"/>
        </w:rPr>
        <w:t>: This study of rhetorical education is based in an eclectic variety of texts and practices. Because much of the actual record of Jesuit colleges in India has been lost but also because their de facto rhetorical curriculum</w:t>
      </w:r>
      <w:r w:rsidR="00FE567B">
        <w:rPr>
          <w:rFonts w:eastAsia="Calibri"/>
          <w:color w:val="auto"/>
        </w:rPr>
        <w:t xml:space="preserve"> (</w:t>
      </w:r>
      <w:r w:rsidR="00FE567B">
        <w:rPr>
          <w:rFonts w:eastAsia="Calibri"/>
          <w:i/>
          <w:color w:val="auto"/>
        </w:rPr>
        <w:t xml:space="preserve">ratio </w:t>
      </w:r>
      <w:proofErr w:type="spellStart"/>
      <w:r w:rsidR="00FE567B">
        <w:rPr>
          <w:rFonts w:eastAsia="Calibri"/>
          <w:i/>
          <w:color w:val="auto"/>
        </w:rPr>
        <w:t>studiorum</w:t>
      </w:r>
      <w:proofErr w:type="spellEnd"/>
      <w:r w:rsidR="00FE567B">
        <w:rPr>
          <w:rFonts w:eastAsia="Calibri"/>
          <w:color w:val="auto"/>
        </w:rPr>
        <w:t>)</w:t>
      </w:r>
      <w:r w:rsidRPr="00B241A9">
        <w:rPr>
          <w:rFonts w:eastAsia="Calibri"/>
          <w:color w:val="auto"/>
        </w:rPr>
        <w:t xml:space="preserve"> only provides one perspective on how the Jesuits used and taught rhetoric, I look at their schools alongside textbooks and treatises as well as the embodied and material practices of the Jesuits and their students. I also situate these materials within their reception, investigating Jesuit correspondence and annual reports to situate Jesuit rhetoric within the larger Jesuit mission and the Counter-Reformation Catholic Church. While this has produced a less than traditional picture of Jesuit rhetorical education, including many gaps, it is reflective of the diversity—as well as fragmentation—found within Jesuit rhetorical education in India. </w:t>
      </w:r>
    </w:p>
    <w:p w14:paraId="232671D0" w14:textId="77777777"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b/>
          <w:color w:val="222222"/>
        </w:rPr>
      </w:pPr>
      <w:r w:rsidRPr="00B241A9">
        <w:rPr>
          <w:b/>
          <w:color w:val="222222"/>
        </w:rPr>
        <w:t>GLOSSARY</w:t>
      </w:r>
    </w:p>
    <w:p w14:paraId="14E9091D" w14:textId="11920898"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color w:val="222222"/>
        </w:rPr>
      </w:pPr>
      <w:proofErr w:type="spellStart"/>
      <w:r>
        <w:rPr>
          <w:i/>
          <w:color w:val="222222"/>
        </w:rPr>
        <w:t>c</w:t>
      </w:r>
      <w:r w:rsidRPr="00B241A9">
        <w:rPr>
          <w:i/>
          <w:color w:val="222222"/>
        </w:rPr>
        <w:t>ollapam</w:t>
      </w:r>
      <w:proofErr w:type="spellEnd"/>
      <w:r w:rsidRPr="00B241A9">
        <w:rPr>
          <w:color w:val="222222"/>
        </w:rPr>
        <w:t>: A dialogue, or reflection, on a certain topic, similar to an inquiry but based in the development of knowledge through discussion and conversation.</w:t>
      </w:r>
    </w:p>
    <w:p w14:paraId="4B0F5B20" w14:textId="3EDBD8AE"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color w:val="222222"/>
        </w:rPr>
      </w:pPr>
      <w:r>
        <w:rPr>
          <w:i/>
          <w:color w:val="222222"/>
        </w:rPr>
        <w:t>g</w:t>
      </w:r>
      <w:r w:rsidRPr="00B241A9">
        <w:rPr>
          <w:i/>
          <w:color w:val="222222"/>
        </w:rPr>
        <w:t>uru</w:t>
      </w:r>
      <w:r w:rsidRPr="00B241A9">
        <w:rPr>
          <w:color w:val="222222"/>
        </w:rPr>
        <w:t xml:space="preserve">: A teacher, responsible for intellectual as well as spiritual development. A </w:t>
      </w:r>
      <w:r w:rsidRPr="00B241A9">
        <w:rPr>
          <w:i/>
          <w:color w:val="222222"/>
        </w:rPr>
        <w:t>guru</w:t>
      </w:r>
      <w:r w:rsidRPr="00B241A9">
        <w:rPr>
          <w:color w:val="222222"/>
        </w:rPr>
        <w:t xml:space="preserve"> usually attracts students through his reputation as a wise person within the community, and students exclusively remain under their tutelage once they begin to study. Gurus teach their students orally, by leading the memorization of sacred texts based on their knowledge (or knowledge they attained in their own apprenticeship with their guru) and by engaging in intellectual dialogues or debates. Gurus typically ascribe to a particular religious sect. Well-respected </w:t>
      </w:r>
      <w:r w:rsidRPr="00B241A9">
        <w:rPr>
          <w:i/>
          <w:color w:val="222222"/>
        </w:rPr>
        <w:t xml:space="preserve">gurus </w:t>
      </w:r>
      <w:r w:rsidRPr="00B241A9">
        <w:rPr>
          <w:color w:val="222222"/>
        </w:rPr>
        <w:t xml:space="preserve">with an established following may be called </w:t>
      </w:r>
      <w:proofErr w:type="spellStart"/>
      <w:r w:rsidRPr="00B241A9">
        <w:rPr>
          <w:i/>
          <w:color w:val="222222"/>
        </w:rPr>
        <w:t>pandarams</w:t>
      </w:r>
      <w:proofErr w:type="spellEnd"/>
      <w:r w:rsidRPr="00B241A9">
        <w:rPr>
          <w:color w:val="222222"/>
        </w:rPr>
        <w:t xml:space="preserve">, which is roughly equivalent to “sage.” Although, </w:t>
      </w:r>
      <w:proofErr w:type="spellStart"/>
      <w:r w:rsidRPr="00B241A9">
        <w:rPr>
          <w:i/>
          <w:color w:val="222222"/>
        </w:rPr>
        <w:t>pandaram</w:t>
      </w:r>
      <w:proofErr w:type="spellEnd"/>
      <w:r w:rsidRPr="00B241A9">
        <w:rPr>
          <w:color w:val="222222"/>
        </w:rPr>
        <w:t xml:space="preserve"> can also refer to a particular caste.  </w:t>
      </w:r>
    </w:p>
    <w:p w14:paraId="2727C04E" w14:textId="660717AD"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color w:val="222222"/>
        </w:rPr>
      </w:pPr>
      <w:r w:rsidRPr="004066EE">
        <w:rPr>
          <w:bCs/>
          <w:i/>
        </w:rPr>
        <w:t>ṣ</w:t>
      </w:r>
      <w:r>
        <w:rPr>
          <w:i/>
        </w:rPr>
        <w:t>i</w:t>
      </w:r>
      <w:r w:rsidRPr="004066EE">
        <w:rPr>
          <w:bCs/>
          <w:i/>
        </w:rPr>
        <w:t>ṣ</w:t>
      </w:r>
      <w:r w:rsidRPr="00F309BC">
        <w:rPr>
          <w:i/>
        </w:rPr>
        <w:t>ya</w:t>
      </w:r>
      <w:r>
        <w:t xml:space="preserve">: </w:t>
      </w:r>
      <w:r w:rsidRPr="00B241A9">
        <w:rPr>
          <w:color w:val="222222"/>
        </w:rPr>
        <w:t xml:space="preserve">Translated as student or follower. </w:t>
      </w:r>
      <w:proofErr w:type="spellStart"/>
      <w:r w:rsidRPr="00B241A9">
        <w:rPr>
          <w:color w:val="222222"/>
        </w:rPr>
        <w:t>Sisyas</w:t>
      </w:r>
      <w:proofErr w:type="spellEnd"/>
      <w:r w:rsidRPr="00B241A9">
        <w:rPr>
          <w:color w:val="222222"/>
        </w:rPr>
        <w:t xml:space="preserve"> remain under the tutelage of one guru, who guides their intellectual and spiritual development. </w:t>
      </w:r>
      <w:proofErr w:type="spellStart"/>
      <w:r w:rsidRPr="00B241A9">
        <w:rPr>
          <w:color w:val="222222"/>
        </w:rPr>
        <w:t>Sisyas</w:t>
      </w:r>
      <w:proofErr w:type="spellEnd"/>
      <w:r w:rsidRPr="00B241A9">
        <w:rPr>
          <w:color w:val="222222"/>
        </w:rPr>
        <w:t xml:space="preserve"> are encouraged to voice their doubts and questions in order to learn and grow. </w:t>
      </w:r>
    </w:p>
    <w:p w14:paraId="3B093678" w14:textId="77777777" w:rsidR="00B241A9" w:rsidRPr="00B241A9" w:rsidRDefault="00B241A9" w:rsidP="00B241A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color w:val="222222"/>
        </w:rPr>
      </w:pPr>
    </w:p>
    <w:p w14:paraId="4B80B447" w14:textId="58F652D7" w:rsidR="007D3A81" w:rsidRDefault="00B241A9" w:rsidP="007C4762">
      <w:pPr>
        <w:spacing w:after="0" w:line="480" w:lineRule="auto"/>
        <w:jc w:val="center"/>
        <w:outlineLvl w:val="0"/>
        <w:rPr>
          <w:b/>
        </w:rPr>
      </w:pPr>
      <w:r>
        <w:rPr>
          <w:b/>
        </w:rPr>
        <w:t>Roberto de</w:t>
      </w:r>
      <w:r w:rsidR="007C4762">
        <w:rPr>
          <w:b/>
        </w:rPr>
        <w:t xml:space="preserve"> Nobili</w:t>
      </w:r>
      <w:r w:rsidR="00251C26">
        <w:rPr>
          <w:b/>
        </w:rPr>
        <w:t xml:space="preserve"> at the Limits of Rhetoric </w:t>
      </w:r>
    </w:p>
    <w:p w14:paraId="2390EF1F" w14:textId="43932796" w:rsidR="007D3A81" w:rsidRDefault="00B241A9">
      <w:pPr>
        <w:spacing w:after="0" w:line="480" w:lineRule="auto"/>
        <w:ind w:firstLine="720"/>
      </w:pPr>
      <w:r>
        <w:t xml:space="preserve">Writing in </w:t>
      </w:r>
      <w:r w:rsidRPr="00B241A9">
        <w:rPr>
          <w:i/>
        </w:rPr>
        <w:t>The Dialogue on Eternal Life</w:t>
      </w:r>
      <w:r>
        <w:t>,</w:t>
      </w:r>
      <w:r w:rsidR="00251C26">
        <w:t xml:space="preserve"> the Jesui</w:t>
      </w:r>
      <w:r w:rsidR="003B305E">
        <w:t>t missionary Roberto de</w:t>
      </w:r>
      <w:r w:rsidR="007C4762">
        <w:t xml:space="preserve"> Nobili</w:t>
      </w:r>
      <w:r w:rsidR="00251C26">
        <w:t xml:space="preserve"> commits </w:t>
      </w:r>
      <w:r w:rsidR="008833E3">
        <w:t xml:space="preserve">what would seem to be a </w:t>
      </w:r>
      <w:r w:rsidR="00251C26">
        <w:t xml:space="preserve">major cultural faux-pas. He attempts to prove that both Rama and </w:t>
      </w:r>
      <w:proofErr w:type="spellStart"/>
      <w:r w:rsidR="00251C26">
        <w:t>Chokkanatha</w:t>
      </w:r>
      <w:proofErr w:type="spellEnd"/>
      <w:r w:rsidR="00251C26">
        <w:t xml:space="preserve"> (Shiva) are not gods, that the </w:t>
      </w:r>
      <w:r w:rsidR="00251C26">
        <w:rPr>
          <w:i/>
        </w:rPr>
        <w:t xml:space="preserve">Ramayana </w:t>
      </w:r>
      <w:r w:rsidR="00251C26">
        <w:t>is wrong. He writes, “these foolish people thought, in a confused way, that God is like themselves: that the gods, like themselves, have their own wives, that they gave great attachment towards these wives and are unable to be separate from them and therefore hold these wives on their laps, keep them on their hips, carry them on their heads, hold them on their chests. … They make God, who is above all things, the</w:t>
      </w:r>
      <w:r w:rsidR="00B72520">
        <w:t xml:space="preserve"> lowest among lascivious people</w:t>
      </w:r>
      <w:r w:rsidR="00251C26">
        <w:t>”</w:t>
      </w:r>
      <w:r w:rsidR="00B72520">
        <w:t xml:space="preserve"> (</w:t>
      </w:r>
      <w:r w:rsidR="00B72520">
        <w:rPr>
          <w:i/>
        </w:rPr>
        <w:t>The Dialogue on Eternal Life</w:t>
      </w:r>
      <w:r w:rsidR="00B72520">
        <w:t>, 288).</w:t>
      </w:r>
      <w:r w:rsidR="00251C26">
        <w:t xml:space="preserve"> </w:t>
      </w:r>
      <w:r w:rsidR="007C4762">
        <w:t>De Nobili</w:t>
      </w:r>
      <w:r w:rsidR="00251C26">
        <w:t xml:space="preserve">’s characterization of Hindu conceptions of divinity was mistaken. Nevertheless, </w:t>
      </w:r>
      <w:r w:rsidR="008833E3">
        <w:t>d</w:t>
      </w:r>
      <w:r w:rsidR="007C4762">
        <w:t>e Nobili</w:t>
      </w:r>
      <w:r w:rsidR="00251C26">
        <w:t xml:space="preserve"> was not misinformed when making this judg</w:t>
      </w:r>
      <w:r w:rsidR="0069166D">
        <w:t xml:space="preserve">ment. His critique was </w:t>
      </w:r>
      <w:r w:rsidR="00251C26">
        <w:t xml:space="preserve">based in the concentrated study of both Sanskrit and Tamil sacred scriptures and led by his own </w:t>
      </w:r>
      <w:r w:rsidR="00251C26" w:rsidRPr="00FE567B">
        <w:rPr>
          <w:i/>
        </w:rPr>
        <w:t>guru</w:t>
      </w:r>
      <w:r w:rsidR="008833E3" w:rsidRPr="00FE567B">
        <w:rPr>
          <w:i/>
        </w:rPr>
        <w:t>s</w:t>
      </w:r>
      <w:r w:rsidR="00251C26">
        <w:t xml:space="preserve"> or teacher</w:t>
      </w:r>
      <w:r w:rsidR="008833E3">
        <w:t>s</w:t>
      </w:r>
      <w:r w:rsidR="00251C26">
        <w:t xml:space="preserve">. He not only sought out these texts but also sought out scholars who could explain these texts to him. Yet, his descriptions of Rama, </w:t>
      </w:r>
      <w:proofErr w:type="spellStart"/>
      <w:r w:rsidR="00251C26">
        <w:t>Ravana</w:t>
      </w:r>
      <w:proofErr w:type="spellEnd"/>
      <w:r w:rsidR="00251C26">
        <w:t xml:space="preserve">, and Shiva fail to accurately represent their divinity. He explains one part of the </w:t>
      </w:r>
      <w:r w:rsidR="00251C26">
        <w:rPr>
          <w:i/>
        </w:rPr>
        <w:t xml:space="preserve">Ramayana </w:t>
      </w:r>
      <w:r w:rsidR="00251C26">
        <w:t xml:space="preserve">in this way: “When Rama killed </w:t>
      </w:r>
      <w:proofErr w:type="spellStart"/>
      <w:r w:rsidR="00251C26">
        <w:t>Ravana</w:t>
      </w:r>
      <w:proofErr w:type="spellEnd"/>
      <w:r w:rsidR="00251C26">
        <w:t>, by doing so, they say, he became guilty of a great murder. In order to expiate the guilt of this murder, Rama worshipped an image [Shiva], as a traditional account about this place tells us. But if one carefully analyses this, it becomes clear that this story cannot be accepted</w:t>
      </w:r>
      <w:r w:rsidR="00B72520">
        <w:t xml:space="preserve"> by reasonable people</w:t>
      </w:r>
      <w:r w:rsidR="00251C26">
        <w:t>”</w:t>
      </w:r>
      <w:r w:rsidR="00B72520">
        <w:t xml:space="preserve"> (288).</w:t>
      </w:r>
      <w:r w:rsidR="00251C26">
        <w:t xml:space="preserve"> </w:t>
      </w:r>
      <w:r w:rsidR="007C4762">
        <w:t>De Nobili</w:t>
      </w:r>
      <w:r w:rsidR="00251C26">
        <w:t xml:space="preserve"> reasons that God could never be guilty after murdering a sinner because this would make God guilty of innumerable crimes. And, if Rama worships another god, he “cannot be the transcendent-and-immanent Being who is the cre</w:t>
      </w:r>
      <w:r w:rsidR="00B72520">
        <w:t>ator of all</w:t>
      </w:r>
      <w:r w:rsidR="00251C26">
        <w:t>”</w:t>
      </w:r>
      <w:r w:rsidR="00B72520">
        <w:t xml:space="preserve"> (288-289).</w:t>
      </w:r>
      <w:r w:rsidR="00251C26">
        <w:t xml:space="preserve"> </w:t>
      </w:r>
    </w:p>
    <w:p w14:paraId="0A323E40" w14:textId="5433AB5A" w:rsidR="007D3A81" w:rsidRDefault="00251C26">
      <w:pPr>
        <w:spacing w:after="0" w:line="480" w:lineRule="auto"/>
        <w:ind w:firstLine="720"/>
      </w:pPr>
      <w:r>
        <w:t xml:space="preserve">Based in syllogistic reasoning, </w:t>
      </w:r>
      <w:r w:rsidR="008833E3">
        <w:t>d</w:t>
      </w:r>
      <w:r w:rsidR="007C4762">
        <w:t>e Nobili</w:t>
      </w:r>
      <w:r>
        <w:t xml:space="preserve">’s proof is logical. But, </w:t>
      </w:r>
      <w:r w:rsidR="008833E3">
        <w:t>d</w:t>
      </w:r>
      <w:r w:rsidR="007C4762">
        <w:t>e Nobili</w:t>
      </w:r>
      <w:r>
        <w:t xml:space="preserve">’s assessment reveals that he </w:t>
      </w:r>
      <w:r w:rsidR="0069166D">
        <w:t>fails to</w:t>
      </w:r>
      <w:r>
        <w:t xml:space="preserve"> understand the text’s portraits of divinity. Within the Indian epic, </w:t>
      </w:r>
      <w:proofErr w:type="spellStart"/>
      <w:r>
        <w:t>Ravana</w:t>
      </w:r>
      <w:proofErr w:type="spellEnd"/>
      <w:r>
        <w:t xml:space="preserve"> </w:t>
      </w:r>
      <w:r>
        <w:lastRenderedPageBreak/>
        <w:t xml:space="preserve">is characterized as the king of Sri Lanka, but he is also a demon and a Brahmin. Rama’s atonement in the story is an atonement for killing a Brahmin. Rama is a prince, but he is not exactly a god. He is understood to be the seventh avatar of Vishnu, an incarnation or descendent of the gods. </w:t>
      </w:r>
      <w:proofErr w:type="spellStart"/>
      <w:r>
        <w:t>Chokkanatha</w:t>
      </w:r>
      <w:proofErr w:type="spellEnd"/>
      <w:r>
        <w:t xml:space="preserve"> is the familiar name in Madurai of Shiva, the third god in the Hindu </w:t>
      </w:r>
      <w:proofErr w:type="spellStart"/>
      <w:r>
        <w:rPr>
          <w:i/>
        </w:rPr>
        <w:t>trimurti</w:t>
      </w:r>
      <w:proofErr w:type="spellEnd"/>
      <w:r>
        <w:t xml:space="preserve">, or triumvirate, and the god of destruction. The relations between these three gods are complex and unequal; they conflict as they overlap. The shifting nature of their relationships stand in stark contrast to the three-in-one unity of the </w:t>
      </w:r>
      <w:r w:rsidR="00AE26F1">
        <w:t>Christian God even as they mirror</w:t>
      </w:r>
      <w:r>
        <w:t xml:space="preserve"> the mystery behind Christianity’s own Holy Trinity.</w:t>
      </w:r>
      <w:r w:rsidR="00B72520">
        <w:rPr>
          <w:rStyle w:val="EndnoteReference"/>
        </w:rPr>
        <w:endnoteReference w:id="1"/>
      </w:r>
      <w:r w:rsidR="00B72520">
        <w:t xml:space="preserve"> </w:t>
      </w:r>
      <w:r w:rsidR="007C4762">
        <w:t>De Nobili</w:t>
      </w:r>
      <w:r>
        <w:t>’s characterization of Hindu conceptions of divinity was not only mistaken</w:t>
      </w:r>
      <w:r w:rsidR="00B72520">
        <w:t xml:space="preserve"> </w:t>
      </w:r>
      <w:r>
        <w:t>but also made other</w:t>
      </w:r>
      <w:r w:rsidR="00E81E27">
        <w:t xml:space="preserve">, creating difference </w:t>
      </w:r>
      <w:r w:rsidR="00774A53">
        <w:t>with</w:t>
      </w:r>
      <w:r w:rsidR="00E81E27">
        <w:t>in its very articulation</w:t>
      </w:r>
      <w:r>
        <w:t xml:space="preserve">. His failure to </w:t>
      </w:r>
      <w:r w:rsidR="0069166D">
        <w:t>understand</w:t>
      </w:r>
      <w:r>
        <w:t xml:space="preserve"> local belief</w:t>
      </w:r>
      <w:r w:rsidR="003E1F81">
        <w:t>, in this sense,</w:t>
      </w:r>
      <w:r>
        <w:t xml:space="preserve"> demonstrates the inaccessibility of rel</w:t>
      </w:r>
      <w:r w:rsidR="0069166D">
        <w:t>igious difference. His refusal</w:t>
      </w:r>
      <w:r>
        <w:t xml:space="preserve"> to </w:t>
      </w:r>
      <w:r w:rsidR="0069166D">
        <w:t xml:space="preserve">engage with </w:t>
      </w:r>
      <w:r>
        <w:t>local stories</w:t>
      </w:r>
      <w:r w:rsidR="0069166D">
        <w:t xml:space="preserve"> </w:t>
      </w:r>
      <w:r>
        <w:t xml:space="preserve">distinguishes this as a failure with rhetorical significance. </w:t>
      </w:r>
    </w:p>
    <w:p w14:paraId="448AC363" w14:textId="68287D40" w:rsidR="007D3A81" w:rsidRDefault="00251C26">
      <w:pPr>
        <w:spacing w:after="0" w:line="480" w:lineRule="auto"/>
        <w:ind w:firstLine="720"/>
      </w:pPr>
      <w:r>
        <w:t>From this</w:t>
      </w:r>
      <w:r w:rsidR="007757ED">
        <w:t xml:space="preserve"> </w:t>
      </w:r>
      <w:r>
        <w:t>perspective, Christianity becomes an all-encomp</w:t>
      </w:r>
      <w:r w:rsidR="003E1F81">
        <w:t>assing hermeneutic and as such,</w:t>
      </w:r>
      <w:r>
        <w:t xml:space="preserve"> an impasse. </w:t>
      </w:r>
      <w:r w:rsidR="007C4762">
        <w:t>De Nobili</w:t>
      </w:r>
      <w:r>
        <w:t>’s Christian faith</w:t>
      </w:r>
      <w:r w:rsidR="00B72520">
        <w:t xml:space="preserve"> is what</w:t>
      </w:r>
      <w:r>
        <w:t xml:space="preserve"> renders him unable to first recognize difference</w:t>
      </w:r>
      <w:r w:rsidR="007757ED">
        <w:t>,</w:t>
      </w:r>
      <w:r>
        <w:t xml:space="preserve"> and then, to understand that difference. Here, Steven </w:t>
      </w:r>
      <w:proofErr w:type="spellStart"/>
      <w:r>
        <w:t>Mailloux’s</w:t>
      </w:r>
      <w:proofErr w:type="spellEnd"/>
      <w:r>
        <w:t xml:space="preserve"> conception of Jesuit rhetoric as the practice of “rhetorical hermeneutics,” a rhetoric that involves both production and reception, that is, reading as well as speaking and/or writing, is, in fact, the danger of such a rhetoric that is religiously motivated. In his article, “Comparative Jesuit </w:t>
      </w:r>
      <w:proofErr w:type="spellStart"/>
      <w:r>
        <w:t>Theorhetoric</w:t>
      </w:r>
      <w:proofErr w:type="spellEnd"/>
      <w:r>
        <w:t xml:space="preserve">,” </w:t>
      </w:r>
      <w:proofErr w:type="spellStart"/>
      <w:r>
        <w:t>Mailloux</w:t>
      </w:r>
      <w:proofErr w:type="spellEnd"/>
      <w:r>
        <w:t xml:space="preserve"> follows out the results of such a danger</w:t>
      </w:r>
      <w:r w:rsidR="007757ED">
        <w:t>. I</w:t>
      </w:r>
      <w:r>
        <w:t>n spite of model</w:t>
      </w:r>
      <w:r w:rsidR="003E1F81">
        <w:t>ing</w:t>
      </w:r>
      <w:r>
        <w:t xml:space="preserve"> Jesuit </w:t>
      </w:r>
      <w:proofErr w:type="spellStart"/>
      <w:r>
        <w:t>theorhetoric</w:t>
      </w:r>
      <w:proofErr w:type="spellEnd"/>
      <w:r>
        <w:t xml:space="preserve"> as a successful, transfo</w:t>
      </w:r>
      <w:r w:rsidR="007757ED">
        <w:t xml:space="preserve">rmative cross-cultural practice, it is the unresolved </w:t>
      </w:r>
      <w:r w:rsidR="00B72520">
        <w:t>specter</w:t>
      </w:r>
      <w:r>
        <w:t xml:space="preserve"> of </w:t>
      </w:r>
      <w:r w:rsidR="00B72520">
        <w:t>ethnocentrism</w:t>
      </w:r>
      <w:r>
        <w:t xml:space="preserve"> that lingers at the end of his argument (265). Thomas </w:t>
      </w:r>
      <w:proofErr w:type="spellStart"/>
      <w:r>
        <w:t>Amorose</w:t>
      </w:r>
      <w:proofErr w:type="spellEnd"/>
      <w:r>
        <w:t xml:space="preserve"> astutely identifies another way to conceive of the danger of Christian rhetoric in his concluding chapter to the collection, </w:t>
      </w:r>
      <w:r>
        <w:rPr>
          <w:i/>
        </w:rPr>
        <w:t>Renovating Christian Rhetoric</w:t>
      </w:r>
      <w:r>
        <w:t xml:space="preserve">. He explains that the term “rhetoric” implies negotiation, open consideration of all </w:t>
      </w:r>
      <w:r>
        <w:lastRenderedPageBreak/>
        <w:t xml:space="preserve">rhetorical options, and engagement in the </w:t>
      </w:r>
      <w:r>
        <w:rPr>
          <w:i/>
        </w:rPr>
        <w:t>public</w:t>
      </w:r>
      <w:r>
        <w:t xml:space="preserve"> sphere (137). However, he writes, Christian attitudes towards rhetoric are “more concerned with the way that faith gives meaning to human beings than it is with the way human beings give meaning to faith” (137). In this sense, Christian rhetoric is dangerous not only for the demands it places upon a reading of the world but also for the particular way in which Christianity reconstitutes the notion of what it means to be human, in this case, to be a </w:t>
      </w:r>
      <w:proofErr w:type="spellStart"/>
      <w:r>
        <w:t>rhetor</w:t>
      </w:r>
      <w:proofErr w:type="spellEnd"/>
      <w:r>
        <w:t xml:space="preserve">.  </w:t>
      </w:r>
    </w:p>
    <w:p w14:paraId="189FB5DB" w14:textId="7F1D1877" w:rsidR="001C38F6" w:rsidRDefault="00251C26">
      <w:pPr>
        <w:spacing w:after="0" w:line="480" w:lineRule="auto"/>
        <w:ind w:firstLine="720"/>
        <w:rPr>
          <w:b/>
        </w:rPr>
      </w:pPr>
      <w:r>
        <w:t xml:space="preserve">Yet, if we view these kinds of cross-cultural incongruities </w:t>
      </w:r>
      <w:r w:rsidR="0017315B">
        <w:t xml:space="preserve">instead </w:t>
      </w:r>
      <w:r>
        <w:t xml:space="preserve">as opportunities, as has been suggested </w:t>
      </w:r>
      <w:r w:rsidR="0076770E">
        <w:t xml:space="preserve">by Lu-Ming Mao, </w:t>
      </w:r>
      <w:r w:rsidR="003E1F81">
        <w:t>d</w:t>
      </w:r>
      <w:r w:rsidR="007C4762">
        <w:t>e Nobili</w:t>
      </w:r>
      <w:r w:rsidR="0076770E">
        <w:t>’s failure</w:t>
      </w:r>
      <w:r>
        <w:t xml:space="preserve"> provides a way into re-imagining the limits of rhetoric through Christianity and, in particular, rhetorical possibilities for inter-religious dialogue. Citing Walter </w:t>
      </w:r>
      <w:proofErr w:type="spellStart"/>
      <w:r>
        <w:t>Mignolo</w:t>
      </w:r>
      <w:proofErr w:type="spellEnd"/>
      <w:r>
        <w:t xml:space="preserve">, Mao argues that instances of incongruity provide a “loci of enunciation” that can provide new logics that are neither a revision nor the truth. He develops a processual model of representation, “with which we learn to experience facts of usage and facts of ‘non’-usage just as readily as we do facts of essence and recognize relations of interdependence and incongruity just as comfortably as we do structures of sameness or difference” (220). Mao provides a method for doing comparative work that rejects authenticity and the boundaries between the local and global as well as the past and present. This chapter extends </w:t>
      </w:r>
      <w:r w:rsidR="003E1F81">
        <w:t>t</w:t>
      </w:r>
      <w:r>
        <w:t xml:space="preserve">his idea of incongruity </w:t>
      </w:r>
      <w:r w:rsidR="001C38F6">
        <w:t xml:space="preserve">and uses it to locate the place of rhetorical failure within cross-cultural rhetoric. </w:t>
      </w:r>
      <w:r>
        <w:t>By lingering within the “n</w:t>
      </w:r>
      <w:r w:rsidR="001C38F6">
        <w:t>on”-usage that haunts usage, I foreground</w:t>
      </w:r>
      <w:r>
        <w:t xml:space="preserve"> incongruity as </w:t>
      </w:r>
      <w:r w:rsidR="0041723B">
        <w:t>not just</w:t>
      </w:r>
      <w:r w:rsidR="001C38F6">
        <w:t xml:space="preserve"> a rhetorical </w:t>
      </w:r>
      <w:r>
        <w:t>methodology</w:t>
      </w:r>
      <w:r w:rsidR="0041723B">
        <w:t xml:space="preserve"> but </w:t>
      </w:r>
      <w:r w:rsidR="001C38F6">
        <w:t xml:space="preserve">a starting point for the study of </w:t>
      </w:r>
      <w:proofErr w:type="spellStart"/>
      <w:r w:rsidR="004E5AF3">
        <w:t>rhetoric</w:t>
      </w:r>
      <w:r w:rsidR="003E1F81">
        <w:t>s</w:t>
      </w:r>
      <w:proofErr w:type="spellEnd"/>
      <w:r w:rsidR="003E1F81">
        <w:t xml:space="preserve"> that </w:t>
      </w:r>
      <w:r w:rsidR="004E5AF3">
        <w:t>cross cultures</w:t>
      </w:r>
      <w:r>
        <w:t>.</w:t>
      </w:r>
      <w:r w:rsidRPr="00130820">
        <w:rPr>
          <w:b/>
        </w:rPr>
        <w:t xml:space="preserve"> </w:t>
      </w:r>
    </w:p>
    <w:p w14:paraId="6258A9D4" w14:textId="3A61F0B9" w:rsidR="003E1F81" w:rsidRPr="003E1F81" w:rsidRDefault="003E1F81" w:rsidP="0055087C">
      <w:pPr>
        <w:spacing w:after="0" w:line="480" w:lineRule="auto"/>
        <w:ind w:firstLine="720"/>
      </w:pPr>
      <w:r>
        <w:t xml:space="preserve">As Paul </w:t>
      </w:r>
      <w:r w:rsidR="00FF0ED1">
        <w:t>Lynch</w:t>
      </w:r>
      <w:r w:rsidR="00EB77E1">
        <w:t xml:space="preserve"> and Matthew Miller’s</w:t>
      </w:r>
      <w:r w:rsidR="00FF0ED1">
        <w:t xml:space="preserve"> </w:t>
      </w:r>
      <w:r w:rsidR="000612E9">
        <w:t xml:space="preserve">recent </w:t>
      </w:r>
      <w:r w:rsidR="00FF0ED1">
        <w:t xml:space="preserve">review of literature on religion and writing suggests, religion has resurfaced as an important </w:t>
      </w:r>
      <w:r w:rsidR="00F450D7">
        <w:t>area of inquiry</w:t>
      </w:r>
      <w:r w:rsidR="00B72520">
        <w:t xml:space="preserve"> within both rhetoric and composition</w:t>
      </w:r>
      <w:r w:rsidR="00F450D7">
        <w:t>. Religion has been received apprehensively</w:t>
      </w:r>
      <w:r w:rsidR="00472F3A">
        <w:t xml:space="preserve"> by some</w:t>
      </w:r>
      <w:r w:rsidR="00F450D7">
        <w:t>.</w:t>
      </w:r>
      <w:r w:rsidR="00CE1C0A" w:rsidRPr="00CE1C0A">
        <w:rPr>
          <w:rStyle w:val="EndnoteReference"/>
        </w:rPr>
        <w:t xml:space="preserve"> </w:t>
      </w:r>
      <w:r w:rsidR="00CE1C0A">
        <w:rPr>
          <w:rStyle w:val="EndnoteReference"/>
        </w:rPr>
        <w:endnoteReference w:id="2"/>
      </w:r>
      <w:r w:rsidR="00CE1C0A">
        <w:t xml:space="preserve"> </w:t>
      </w:r>
      <w:r w:rsidR="00F450D7">
        <w:t>But</w:t>
      </w:r>
      <w:r w:rsidR="000612E9">
        <w:t>,</w:t>
      </w:r>
      <w:r w:rsidR="00F450D7">
        <w:t xml:space="preserve"> th</w:t>
      </w:r>
      <w:r w:rsidR="00650126">
        <w:t xml:space="preserve">e field has expanded </w:t>
      </w:r>
      <w:r w:rsidR="00650126">
        <w:lastRenderedPageBreak/>
        <w:t xml:space="preserve">understandings </w:t>
      </w:r>
      <w:r w:rsidR="00F450D7">
        <w:t>of the complexity of re</w:t>
      </w:r>
      <w:r w:rsidR="00DA655C">
        <w:t>ligious belief and experience, using religion as a site to interrogate modern assumptions and</w:t>
      </w:r>
      <w:r w:rsidR="000612E9">
        <w:t xml:space="preserve"> attitudes.</w:t>
      </w:r>
      <w:r w:rsidR="0000056F">
        <w:rPr>
          <w:rStyle w:val="EndnoteReference"/>
        </w:rPr>
        <w:endnoteReference w:id="3"/>
      </w:r>
      <w:r w:rsidR="00CE1C0A">
        <w:t xml:space="preserve"> While a majority of this work has focused on the Christian tradition in the United States, as interest in religious sites of rhetoric and writing has increased, scholars have begun to focus on a greater diversity of religious traditions</w:t>
      </w:r>
      <w:r w:rsidR="003E17CE">
        <w:t>, especially Judaism</w:t>
      </w:r>
      <w:r w:rsidR="004A3BCC">
        <w:t xml:space="preserve"> (</w:t>
      </w:r>
      <w:r w:rsidR="00316506">
        <w:t>Bernard-</w:t>
      </w:r>
      <w:proofErr w:type="spellStart"/>
      <w:r w:rsidR="00316506">
        <w:t>Donals</w:t>
      </w:r>
      <w:proofErr w:type="spellEnd"/>
      <w:r w:rsidR="00316506">
        <w:t xml:space="preserve">, </w:t>
      </w:r>
      <w:proofErr w:type="spellStart"/>
      <w:r w:rsidR="00316506">
        <w:t>Holdstein</w:t>
      </w:r>
      <w:proofErr w:type="spellEnd"/>
      <w:r w:rsidR="004A3BCC">
        <w:t>)</w:t>
      </w:r>
      <w:r w:rsidR="00CE1C0A">
        <w:t>. Similarly,</w:t>
      </w:r>
      <w:r w:rsidR="00A83187">
        <w:t xml:space="preserve"> a</w:t>
      </w:r>
      <w:r w:rsidR="00BB4752">
        <w:t xml:space="preserve">s rhetorical studies </w:t>
      </w:r>
      <w:proofErr w:type="gramStart"/>
      <w:r w:rsidR="00BB4752">
        <w:t>has</w:t>
      </w:r>
      <w:proofErr w:type="gramEnd"/>
      <w:r w:rsidR="00BB4752">
        <w:t xml:space="preserve"> expanded its purview to non-Western rhetorical traditions, </w:t>
      </w:r>
      <w:r w:rsidR="00A12059">
        <w:t>scholars have begun to investigate different rhetorical traditions with roots</w:t>
      </w:r>
      <w:r w:rsidR="00A23DC3">
        <w:t xml:space="preserve"> in a wide array of religious practices</w:t>
      </w:r>
      <w:r w:rsidR="00A12059">
        <w:t>.</w:t>
      </w:r>
      <w:r w:rsidR="00BB4752">
        <w:t xml:space="preserve"> </w:t>
      </w:r>
      <w:r w:rsidR="00EF2813">
        <w:t xml:space="preserve">In </w:t>
      </w:r>
      <w:r w:rsidR="007F77F4">
        <w:t>Roberta Binkley and Carol Lipson’s</w:t>
      </w:r>
      <w:r w:rsidR="00EF2813">
        <w:t xml:space="preserve"> 2009</w:t>
      </w:r>
      <w:r w:rsidR="008C3612">
        <w:t xml:space="preserve"> collection, </w:t>
      </w:r>
      <w:r w:rsidR="00EF2813">
        <w:rPr>
          <w:i/>
        </w:rPr>
        <w:t>Ancient Non-</w:t>
      </w:r>
      <w:r w:rsidR="00EF2813" w:rsidRPr="00EF2813">
        <w:rPr>
          <w:i/>
        </w:rPr>
        <w:t xml:space="preserve">Greek </w:t>
      </w:r>
      <w:proofErr w:type="spellStart"/>
      <w:r w:rsidR="00EF2813" w:rsidRPr="00EF2813">
        <w:rPr>
          <w:i/>
        </w:rPr>
        <w:t>Rhetorics</w:t>
      </w:r>
      <w:proofErr w:type="spellEnd"/>
      <w:r w:rsidR="00EF2813">
        <w:t xml:space="preserve">, almost every chapter arguably intersects with religion. </w:t>
      </w:r>
      <w:r w:rsidR="00A84280">
        <w:t xml:space="preserve">Similarly, half of the articles found in </w:t>
      </w:r>
      <w:r w:rsidR="00A84280" w:rsidRPr="00A84280">
        <w:rPr>
          <w:i/>
        </w:rPr>
        <w:t>RSQ’s</w:t>
      </w:r>
      <w:r w:rsidR="00A84280">
        <w:t xml:space="preserve"> 2013 special issue on Comparative Rhetoric touch on religion. </w:t>
      </w:r>
      <w:r w:rsidR="00A12059" w:rsidRPr="00EF2813">
        <w:t>Yet</w:t>
      </w:r>
      <w:r w:rsidR="00A12059">
        <w:t xml:space="preserve"> these </w:t>
      </w:r>
      <w:r w:rsidR="00B241A9">
        <w:t xml:space="preserve">comparative </w:t>
      </w:r>
      <w:r w:rsidR="00A12059">
        <w:t xml:space="preserve">studies rarely interrogate </w:t>
      </w:r>
      <w:r w:rsidR="00A84280">
        <w:t>the relationship between rhetoric and religion</w:t>
      </w:r>
      <w:r w:rsidR="00C22016">
        <w:t xml:space="preserve"> even as scholars</w:t>
      </w:r>
      <w:r w:rsidR="006937B4">
        <w:t xml:space="preserve"> in these works</w:t>
      </w:r>
      <w:r w:rsidR="00C22016">
        <w:t xml:space="preserve"> have directly challenged the ethics of studying other cultures</w:t>
      </w:r>
      <w:r w:rsidR="00A12059">
        <w:t>.</w:t>
      </w:r>
      <w:r w:rsidR="00B72520">
        <w:rPr>
          <w:rStyle w:val="EndnoteReference"/>
        </w:rPr>
        <w:endnoteReference w:id="4"/>
      </w:r>
      <w:r w:rsidR="00B72520">
        <w:t xml:space="preserve"> </w:t>
      </w:r>
      <w:r w:rsidR="00A12059">
        <w:t>As the field moves to expand its notion of rhetoric</w:t>
      </w:r>
      <w:r w:rsidR="00594B3A">
        <w:t xml:space="preserve"> beyond the West</w:t>
      </w:r>
      <w:r w:rsidR="00A12059">
        <w:t xml:space="preserve">, it must also expand its understanding of the </w:t>
      </w:r>
      <w:r w:rsidR="00594B3A">
        <w:t xml:space="preserve">different </w:t>
      </w:r>
      <w:r w:rsidR="00A12059">
        <w:t xml:space="preserve">ways in which religion defines, relates, and motivates rhetoric. </w:t>
      </w:r>
      <w:r w:rsidR="0055087C">
        <w:t>Both scholars who study religious rhetoric and scholars who study comparative rhetoric have focused on research methodology,</w:t>
      </w:r>
      <w:r w:rsidR="00E7065A">
        <w:rPr>
          <w:rStyle w:val="EndnoteReference"/>
        </w:rPr>
        <w:endnoteReference w:id="5"/>
      </w:r>
      <w:r w:rsidR="0055087C">
        <w:t xml:space="preserve"> but this work has yet to be put in conversation. </w:t>
      </w:r>
      <w:r w:rsidR="00A12059">
        <w:t xml:space="preserve">Following the work of cultural and comparative rhetoricians, </w:t>
      </w:r>
      <w:r w:rsidR="00B57EAC">
        <w:t>work investigating rhetorical texts that are also religious must begin to situate these acts</w:t>
      </w:r>
      <w:r w:rsidR="00A12059">
        <w:t xml:space="preserve"> </w:t>
      </w:r>
      <w:r w:rsidR="00B57EAC">
        <w:t xml:space="preserve">within </w:t>
      </w:r>
      <w:r w:rsidR="00AA1E9A">
        <w:t xml:space="preserve">a broader </w:t>
      </w:r>
      <w:r w:rsidR="003F6BE2">
        <w:t xml:space="preserve">network of meaning based in the particularities of its production and reception. Furthermore, this work must </w:t>
      </w:r>
      <w:r w:rsidR="002836B4">
        <w:t>question the act of reading/knowing religious rhetoric itself. That is, rather than att</w:t>
      </w:r>
      <w:r w:rsidR="00B241A9">
        <w:t>empting to provide an objective</w:t>
      </w:r>
      <w:r w:rsidR="00594B3A">
        <w:t xml:space="preserve"> account of religious rhetoric</w:t>
      </w:r>
      <w:r w:rsidR="002836B4">
        <w:t xml:space="preserve">, it must be </w:t>
      </w:r>
      <w:r w:rsidR="009859C8">
        <w:t>responsi</w:t>
      </w:r>
      <w:r w:rsidR="00B241A9">
        <w:t xml:space="preserve">ve and </w:t>
      </w:r>
      <w:r w:rsidR="002836B4">
        <w:t xml:space="preserve">reflective. </w:t>
      </w:r>
    </w:p>
    <w:p w14:paraId="52BC2060" w14:textId="135E0717" w:rsidR="007D3A81" w:rsidRDefault="00251C26">
      <w:pPr>
        <w:spacing w:after="0" w:line="480" w:lineRule="auto"/>
        <w:ind w:firstLine="720"/>
      </w:pPr>
      <w:r>
        <w:t xml:space="preserve">Therefore, this </w:t>
      </w:r>
      <w:r w:rsidR="002836B4">
        <w:t>essay</w:t>
      </w:r>
      <w:r>
        <w:t xml:space="preserve"> begins not by asking how we can understand difference, but instead, with the proposition that sometimes we can’t. Ac</w:t>
      </w:r>
      <w:r w:rsidR="002836B4">
        <w:t>knowledging this, the essay</w:t>
      </w:r>
      <w:r>
        <w:t xml:space="preserve"> attempts to understand how Jesuits were able to operate within these limits, rhetorically. Beginning wit</w:t>
      </w:r>
      <w:r w:rsidR="000F77C7">
        <w:t xml:space="preserve">h </w:t>
      </w:r>
      <w:r w:rsidR="002836B4">
        <w:t>d</w:t>
      </w:r>
      <w:r w:rsidR="007C4762">
        <w:t xml:space="preserve">e </w:t>
      </w:r>
      <w:r w:rsidR="007C4762">
        <w:lastRenderedPageBreak/>
        <w:t>Nobili</w:t>
      </w:r>
      <w:r w:rsidR="000F77C7">
        <w:t>’s failure, this essay</w:t>
      </w:r>
      <w:r>
        <w:t xml:space="preserve"> shows how </w:t>
      </w:r>
      <w:r w:rsidR="007C4762">
        <w:t>De Nobili</w:t>
      </w:r>
      <w:r>
        <w:t xml:space="preserve"> overcame his inability to understand di</w:t>
      </w:r>
      <w:r w:rsidR="00D458DB">
        <w:t xml:space="preserve">fference through </w:t>
      </w:r>
      <w:r>
        <w:t>dialogue. In keeping with a tradition that was just as much Indian as it was European, his mistakes</w:t>
      </w:r>
      <w:r w:rsidR="00B241A9">
        <w:t xml:space="preserve"> were not meant to persist.</w:t>
      </w:r>
      <w:r>
        <w:t xml:space="preserve"> </w:t>
      </w:r>
      <w:r w:rsidR="00B241A9">
        <w:t xml:space="preserve">Instead, they </w:t>
      </w:r>
      <w:r>
        <w:t>provided an opening for dialectic correction. As such, his mistakes allowed him to read his rhetorical action back upon himself. Within this move fr</w:t>
      </w:r>
      <w:r w:rsidR="00650B91">
        <w:t>om dialectic correction to self-</w:t>
      </w:r>
      <w:r>
        <w:t xml:space="preserve">correction, </w:t>
      </w:r>
      <w:r w:rsidR="002836B4">
        <w:t>d</w:t>
      </w:r>
      <w:r w:rsidR="007C4762">
        <w:t>e Nobili</w:t>
      </w:r>
      <w:r>
        <w:t xml:space="preserve"> opened himself up to be converted by those he encountered. More than just a rhetorical gesture, this disposition of vulnerability was made available to </w:t>
      </w:r>
      <w:r w:rsidR="00C06221">
        <w:t>d</w:t>
      </w:r>
      <w:r w:rsidR="007C4762">
        <w:t>e Nobili</w:t>
      </w:r>
      <w:r>
        <w:t xml:space="preserve"> by the very thing that also</w:t>
      </w:r>
      <w:r w:rsidR="00C06221">
        <w:t xml:space="preserve"> seemingly</w:t>
      </w:r>
      <w:r>
        <w:t xml:space="preserve"> interrupted his ability to recognize that which was different—his Christian faith. </w:t>
      </w:r>
      <w:r w:rsidR="00D357CD">
        <w:t xml:space="preserve">The difference that he was met with fueled a transformation that went beyond cultural incongruity, difference providing the opportunity for not only dialogue but also the eventual conversion of the self. </w:t>
      </w:r>
      <w:r>
        <w:t xml:space="preserve">Instead of seeing the role of missionary as solely a call to convert others, </w:t>
      </w:r>
      <w:r w:rsidR="00B241A9">
        <w:t>d</w:t>
      </w:r>
      <w:r w:rsidR="007C4762">
        <w:t>e Nobili</w:t>
      </w:r>
      <w:r>
        <w:t xml:space="preserve"> practiced Ignatian spirituality in a way that required the constant conversion of the self through </w:t>
      </w:r>
      <w:r w:rsidR="00E14B97">
        <w:t xml:space="preserve">a </w:t>
      </w:r>
      <w:r>
        <w:t xml:space="preserve">dialogue with the surrounding world. It was in his mistakes, a perceived conflict between two alternatives, or the preference for one over the other, that </w:t>
      </w:r>
      <w:r w:rsidR="00B241A9">
        <w:t>d</w:t>
      </w:r>
      <w:r w:rsidR="007C4762">
        <w:t>e Nobili</w:t>
      </w:r>
      <w:r>
        <w:t xml:space="preserve"> opened up a space for </w:t>
      </w:r>
      <w:r w:rsidR="00C06221">
        <w:t>dialogue, negotiation,</w:t>
      </w:r>
      <w:r w:rsidR="00830EDB">
        <w:t xml:space="preserve"> </w:t>
      </w:r>
      <w:r>
        <w:t xml:space="preserve">and </w:t>
      </w:r>
      <w:r w:rsidR="00C06221">
        <w:t xml:space="preserve">revision, in a word, </w:t>
      </w:r>
      <w:r>
        <w:t xml:space="preserve">transformation. </w:t>
      </w:r>
    </w:p>
    <w:p w14:paraId="2D996C1B" w14:textId="558529A4" w:rsidR="00E301DA" w:rsidRDefault="00282769">
      <w:pPr>
        <w:spacing w:after="0" w:line="480" w:lineRule="auto"/>
        <w:ind w:firstLine="720"/>
      </w:pPr>
      <w:r>
        <w:t>This essay</w:t>
      </w:r>
      <w:r w:rsidR="00251C26">
        <w:t xml:space="preserve">, then, </w:t>
      </w:r>
      <w:r w:rsidR="00830EDB">
        <w:t>explores</w:t>
      </w:r>
      <w:r w:rsidR="004221D3">
        <w:t xml:space="preserve"> </w:t>
      </w:r>
      <w:r w:rsidR="00C06221">
        <w:t>d</w:t>
      </w:r>
      <w:r w:rsidR="007C4762">
        <w:t>e Nobili</w:t>
      </w:r>
      <w:r w:rsidR="00C06221">
        <w:t xml:space="preserve">’s </w:t>
      </w:r>
      <w:r w:rsidR="00C06221" w:rsidRPr="00C06221">
        <w:rPr>
          <w:i/>
        </w:rPr>
        <w:t>Dialogue on Eternal Life</w:t>
      </w:r>
      <w:r w:rsidR="004221D3">
        <w:t xml:space="preserve"> </w:t>
      </w:r>
      <w:r w:rsidR="00830EDB">
        <w:t xml:space="preserve">for the ways in which its formal conventions </w:t>
      </w:r>
      <w:r w:rsidR="00316506">
        <w:t>call</w:t>
      </w:r>
      <w:r w:rsidR="004221D3">
        <w:t xml:space="preserve"> into question discourse</w:t>
      </w:r>
      <w:r w:rsidR="00C06221">
        <w:t xml:space="preserve"> itself and betray an alignment with the Indian rhetorical tradition. </w:t>
      </w:r>
      <w:r w:rsidR="004221D3">
        <w:t xml:space="preserve">I then look at </w:t>
      </w:r>
      <w:r w:rsidR="00B241A9">
        <w:t>d</w:t>
      </w:r>
      <w:r w:rsidR="007C4762">
        <w:t>e Nobili</w:t>
      </w:r>
      <w:r w:rsidR="004221D3">
        <w:t xml:space="preserve">’s </w:t>
      </w:r>
      <w:r w:rsidR="00C06221" w:rsidRPr="008E6A32">
        <w:rPr>
          <w:i/>
        </w:rPr>
        <w:t>Report on Certain Customs of the Indian Nation</w:t>
      </w:r>
      <w:r w:rsidR="00316506">
        <w:rPr>
          <w:i/>
        </w:rPr>
        <w:t xml:space="preserve"> </w:t>
      </w:r>
      <w:r w:rsidR="00316506">
        <w:t>as a counterpoint</w:t>
      </w:r>
      <w:r w:rsidR="004221D3">
        <w:t>. Unlike his dialogue</w:t>
      </w:r>
      <w:r w:rsidR="008B28C7">
        <w:t>s</w:t>
      </w:r>
      <w:r w:rsidR="004221D3">
        <w:t xml:space="preserve">, this text was written for a European audience and invokes Western logic to </w:t>
      </w:r>
      <w:r w:rsidR="00917190">
        <w:t xml:space="preserve">make available his </w:t>
      </w:r>
      <w:r w:rsidR="00681AA7">
        <w:t xml:space="preserve">particular </w:t>
      </w:r>
      <w:r w:rsidR="00917190">
        <w:t>time and place.</w:t>
      </w:r>
      <w:r w:rsidR="00681AA7">
        <w:t xml:space="preserve"> I analyze h</w:t>
      </w:r>
      <w:r w:rsidR="004221D3">
        <w:t xml:space="preserve">ow this </w:t>
      </w:r>
      <w:r w:rsidR="00316506">
        <w:t xml:space="preserve">logical and seemingly </w:t>
      </w:r>
      <w:r w:rsidR="00917190">
        <w:t>anthropological account</w:t>
      </w:r>
      <w:r w:rsidR="004221D3">
        <w:t xml:space="preserve"> functions alongside </w:t>
      </w:r>
      <w:r w:rsidR="00917190">
        <w:t>de</w:t>
      </w:r>
      <w:r w:rsidR="007C4762">
        <w:t xml:space="preserve"> Nobili</w:t>
      </w:r>
      <w:r w:rsidR="004221D3">
        <w:t xml:space="preserve">’s embodied rhetorical practices </w:t>
      </w:r>
      <w:r w:rsidR="00316506">
        <w:t xml:space="preserve">and </w:t>
      </w:r>
      <w:r w:rsidR="00917190">
        <w:t>call</w:t>
      </w:r>
      <w:r w:rsidR="00316506">
        <w:t>s</w:t>
      </w:r>
      <w:r w:rsidR="00917190">
        <w:t xml:space="preserve"> attention to the limits of transnational </w:t>
      </w:r>
      <w:r w:rsidR="00917190" w:rsidRPr="00B241A9">
        <w:rPr>
          <w:i/>
        </w:rPr>
        <w:t>writing</w:t>
      </w:r>
      <w:r w:rsidR="00917190">
        <w:t>. I</w:t>
      </w:r>
      <w:r w:rsidR="004221D3">
        <w:t>n my final section,</w:t>
      </w:r>
      <w:r w:rsidR="00917190">
        <w:t xml:space="preserve"> I</w:t>
      </w:r>
      <w:r w:rsidR="004221D3">
        <w:t xml:space="preserve"> treat these </w:t>
      </w:r>
      <w:r w:rsidR="00917190">
        <w:t xml:space="preserve">embodied </w:t>
      </w:r>
      <w:r w:rsidR="004221D3">
        <w:t xml:space="preserve">practices on their own to demonstrate how </w:t>
      </w:r>
      <w:r w:rsidR="00917190">
        <w:t>de</w:t>
      </w:r>
      <w:r w:rsidR="007C4762">
        <w:t xml:space="preserve"> Nobili</w:t>
      </w:r>
      <w:r w:rsidR="004221D3">
        <w:t xml:space="preserve"> </w:t>
      </w:r>
      <w:r w:rsidR="00B241A9">
        <w:t>challenged</w:t>
      </w:r>
      <w:r w:rsidR="00917190">
        <w:t xml:space="preserve"> the stasis of two </w:t>
      </w:r>
      <w:r w:rsidR="00917190">
        <w:lastRenderedPageBreak/>
        <w:t xml:space="preserve">opposing rhetorical traditions by foregrounding the </w:t>
      </w:r>
      <w:r w:rsidR="005650A6">
        <w:t xml:space="preserve">fleeting </w:t>
      </w:r>
      <w:r w:rsidR="00917190">
        <w:t xml:space="preserve">moment of enunciation. </w:t>
      </w:r>
      <w:r w:rsidR="00275BD5">
        <w:t>In doing so, this essay demonstrates a way into understanding rhetorical mistakes as productive spaces for</w:t>
      </w:r>
      <w:r w:rsidR="005650A6">
        <w:t xml:space="preserve"> cross-cultural learning and</w:t>
      </w:r>
      <w:r w:rsidR="00275BD5">
        <w:t xml:space="preserve"> the reanimation of </w:t>
      </w:r>
      <w:r w:rsidR="005650A6">
        <w:t>traditional rhetorical forms</w:t>
      </w:r>
      <w:r w:rsidR="00275BD5">
        <w:t xml:space="preserve">.   </w:t>
      </w:r>
      <w:r w:rsidR="00870E9B">
        <w:t xml:space="preserve"> </w:t>
      </w:r>
      <w:r w:rsidR="00251C26">
        <w:t xml:space="preserve"> </w:t>
      </w:r>
    </w:p>
    <w:p w14:paraId="047943DC" w14:textId="4A0F27C5" w:rsidR="007D3A81" w:rsidRPr="005A525D" w:rsidRDefault="00681AA7" w:rsidP="007C4762">
      <w:pPr>
        <w:spacing w:after="0" w:line="480" w:lineRule="auto"/>
        <w:jc w:val="center"/>
        <w:outlineLvl w:val="0"/>
        <w:rPr>
          <w:b/>
          <w:i/>
        </w:rPr>
      </w:pPr>
      <w:r w:rsidRPr="005A525D">
        <w:rPr>
          <w:b/>
          <w:i/>
        </w:rPr>
        <w:t xml:space="preserve"> </w:t>
      </w:r>
      <w:r w:rsidR="00251C26" w:rsidRPr="005A525D">
        <w:rPr>
          <w:b/>
          <w:i/>
        </w:rPr>
        <w:t>The Dialogue o</w:t>
      </w:r>
      <w:r w:rsidR="005A525D" w:rsidRPr="005A525D">
        <w:rPr>
          <w:b/>
          <w:i/>
        </w:rPr>
        <w:t>n Eternal Life</w:t>
      </w:r>
    </w:p>
    <w:p w14:paraId="2C9624B1" w14:textId="1A40766F" w:rsidR="00845DF4" w:rsidRDefault="00251C26" w:rsidP="00EE0E06">
      <w:pPr>
        <w:spacing w:after="0" w:line="480" w:lineRule="auto"/>
      </w:pPr>
      <w:bookmarkStart w:id="0" w:name="_9yy6qa56f40h" w:colFirst="0" w:colLast="0"/>
      <w:bookmarkEnd w:id="0"/>
      <w:r>
        <w:rPr>
          <w:b/>
        </w:rPr>
        <w:tab/>
      </w:r>
      <w:r w:rsidR="00062980">
        <w:t>Roberto de Nobili was one of the first Jesuits to not only learn both the Tamil and Sanskrit languages but to also write in these languages. Born in Rome, Italy, in 1577, de Nobili joined the Jesuits in 1596 against the wishes of his aristocratic family</w:t>
      </w:r>
      <w:r w:rsidR="00F45542">
        <w:t xml:space="preserve"> (</w:t>
      </w:r>
      <w:proofErr w:type="spellStart"/>
      <w:r w:rsidR="00F45542">
        <w:t>Sauliere</w:t>
      </w:r>
      <w:proofErr w:type="spellEnd"/>
      <w:r w:rsidR="00F45542">
        <w:t xml:space="preserve"> 8</w:t>
      </w:r>
      <w:r w:rsidR="00BA51AC">
        <w:t>)</w:t>
      </w:r>
      <w:r w:rsidR="00062980">
        <w:t>.</w:t>
      </w:r>
      <w:r w:rsidR="001F6EE8">
        <w:rPr>
          <w:rStyle w:val="EndnoteReference"/>
        </w:rPr>
        <w:endnoteReference w:id="6"/>
      </w:r>
      <w:r w:rsidR="00062980">
        <w:t xml:space="preserve"> </w:t>
      </w:r>
      <w:r w:rsidR="005E50CB">
        <w:t>After studying theology at the Roman College, h</w:t>
      </w:r>
      <w:r w:rsidR="00062980">
        <w:t>e arrived to India in 1605, and in 1607, took up residence in Madurai</w:t>
      </w:r>
      <w:r w:rsidR="00316506">
        <w:t xml:space="preserve"> within the Jesuit Malabar Province</w:t>
      </w:r>
      <w:r w:rsidR="00062980">
        <w:t>, joining the mi</w:t>
      </w:r>
      <w:r w:rsidR="005B2A61">
        <w:t>ssion of the Portuguese Jesuit</w:t>
      </w:r>
      <w:r w:rsidR="00062980">
        <w:t xml:space="preserve"> </w:t>
      </w:r>
      <w:proofErr w:type="spellStart"/>
      <w:r w:rsidR="00062980">
        <w:t>Gonçalo</w:t>
      </w:r>
      <w:proofErr w:type="spellEnd"/>
      <w:r w:rsidR="00062980">
        <w:t xml:space="preserve"> </w:t>
      </w:r>
      <w:proofErr w:type="spellStart"/>
      <w:r w:rsidR="00062980">
        <w:t>Fern</w:t>
      </w:r>
      <w:r w:rsidR="008B7D65">
        <w:t>andes</w:t>
      </w:r>
      <w:proofErr w:type="spellEnd"/>
      <w:r w:rsidR="008B7D65">
        <w:t>. The mission was floundering</w:t>
      </w:r>
      <w:r w:rsidR="00062980">
        <w:t xml:space="preserve">, only managing to convert a small number of pariahs in the historic city center of Tamil culture. In the shadows </w:t>
      </w:r>
      <w:r w:rsidR="00B241A9">
        <w:t xml:space="preserve">of Madurai’s grand temple of </w:t>
      </w:r>
      <w:proofErr w:type="spellStart"/>
      <w:r w:rsidR="00B241A9">
        <w:t>Mi</w:t>
      </w:r>
      <w:r w:rsidR="00062980">
        <w:t>nakshi</w:t>
      </w:r>
      <w:proofErr w:type="spellEnd"/>
      <w:r w:rsidR="00062980">
        <w:t>, de Nobili began to study the local language and religion. Eager to find ways to expand the mission, de Nobili was persuaded by his</w:t>
      </w:r>
      <w:r w:rsidR="00316506">
        <w:t xml:space="preserve"> Sanskrit</w:t>
      </w:r>
      <w:r w:rsidR="00062980">
        <w:t xml:space="preserve"> teacher</w:t>
      </w:r>
      <w:r w:rsidR="00D51EF1">
        <w:t xml:space="preserve"> and Pundit</w:t>
      </w:r>
      <w:r w:rsidR="00062980">
        <w:t xml:space="preserve"> </w:t>
      </w:r>
      <w:proofErr w:type="spellStart"/>
      <w:r w:rsidR="00C3716F">
        <w:t>Pandâra</w:t>
      </w:r>
      <w:proofErr w:type="spellEnd"/>
      <w:r w:rsidR="00C3716F">
        <w:t xml:space="preserve"> </w:t>
      </w:r>
      <w:proofErr w:type="spellStart"/>
      <w:r w:rsidR="00C3716F">
        <w:t>Sannidhi</w:t>
      </w:r>
      <w:proofErr w:type="spellEnd"/>
      <w:r w:rsidR="00C3716F">
        <w:t xml:space="preserve">, baptized </w:t>
      </w:r>
      <w:proofErr w:type="spellStart"/>
      <w:r w:rsidR="00751C18">
        <w:t>Sivadharma</w:t>
      </w:r>
      <w:proofErr w:type="spellEnd"/>
      <w:r w:rsidR="00C3716F">
        <w:t>,</w:t>
      </w:r>
      <w:r w:rsidR="00316506">
        <w:t xml:space="preserve"> </w:t>
      </w:r>
      <w:r w:rsidR="00062980">
        <w:t xml:space="preserve">to adapt Christianity to local cultural practices. </w:t>
      </w:r>
      <w:r w:rsidR="00316506">
        <w:t xml:space="preserve">This </w:t>
      </w:r>
      <w:proofErr w:type="spellStart"/>
      <w:r w:rsidR="00316506">
        <w:rPr>
          <w:i/>
        </w:rPr>
        <w:t>pandaram</w:t>
      </w:r>
      <w:proofErr w:type="spellEnd"/>
      <w:r w:rsidR="008D0353">
        <w:t xml:space="preserve"> told him, “If your object is only to save your soul, you can go about dressed as you please, but if you want to be a master among these people, teach them the spiritual law, and gather a large number of disciples you must, as far as you can, adapt yourself to the manners, custom</w:t>
      </w:r>
      <w:r w:rsidR="00C3716F">
        <w:t>s and ideas of this country” (</w:t>
      </w:r>
      <w:proofErr w:type="spellStart"/>
      <w:r w:rsidR="00C3716F">
        <w:t>qtd</w:t>
      </w:r>
      <w:proofErr w:type="spellEnd"/>
      <w:r w:rsidR="00C3716F">
        <w:t xml:space="preserve">. in </w:t>
      </w:r>
      <w:proofErr w:type="spellStart"/>
      <w:r w:rsidR="00C3716F">
        <w:t>Laerzio</w:t>
      </w:r>
      <w:proofErr w:type="spellEnd"/>
      <w:r w:rsidR="00C3716F">
        <w:t xml:space="preserve"> to </w:t>
      </w:r>
      <w:proofErr w:type="spellStart"/>
      <w:r w:rsidR="00C3716F">
        <w:t>Aquaviva</w:t>
      </w:r>
      <w:proofErr w:type="spellEnd"/>
      <w:r w:rsidR="00C3716F">
        <w:t>, November 20, 1609</w:t>
      </w:r>
      <w:r w:rsidR="008D0353">
        <w:t xml:space="preserve">). </w:t>
      </w:r>
      <w:r w:rsidR="00D61D43">
        <w:t>Following this advice, d</w:t>
      </w:r>
      <w:r w:rsidR="00062980">
        <w:t xml:space="preserve">e Nobili fashioned himself as a </w:t>
      </w:r>
      <w:r w:rsidR="00062980" w:rsidRPr="00316506">
        <w:rPr>
          <w:i/>
        </w:rPr>
        <w:t>sanyasi</w:t>
      </w:r>
      <w:r w:rsidR="00062980">
        <w:t>, a</w:t>
      </w:r>
      <w:r w:rsidR="00F445FC">
        <w:t xml:space="preserve"> </w:t>
      </w:r>
      <w:proofErr w:type="spellStart"/>
      <w:r w:rsidR="00F445FC">
        <w:t>renunciate</w:t>
      </w:r>
      <w:proofErr w:type="spellEnd"/>
      <w:r w:rsidR="004147A1">
        <w:t xml:space="preserve"> or a</w:t>
      </w:r>
      <w:r w:rsidR="00062980">
        <w:t>s</w:t>
      </w:r>
      <w:r w:rsidR="004147A1">
        <w:t>cetic</w:t>
      </w:r>
      <w:r w:rsidR="00062980">
        <w:t>,</w:t>
      </w:r>
      <w:r w:rsidR="00C15087">
        <w:t xml:space="preserve"> from the </w:t>
      </w:r>
      <w:proofErr w:type="spellStart"/>
      <w:r w:rsidR="00C15087" w:rsidRPr="00D61D43">
        <w:rPr>
          <w:i/>
        </w:rPr>
        <w:t>K</w:t>
      </w:r>
      <w:r w:rsidR="004147A1" w:rsidRPr="00D61D43">
        <w:rPr>
          <w:i/>
        </w:rPr>
        <w:t>a</w:t>
      </w:r>
      <w:r w:rsidR="00C15087" w:rsidRPr="00D61D43">
        <w:rPr>
          <w:i/>
        </w:rPr>
        <w:t>shitrya</w:t>
      </w:r>
      <w:proofErr w:type="spellEnd"/>
      <w:r w:rsidR="00C15087" w:rsidRPr="00D61D43">
        <w:rPr>
          <w:i/>
        </w:rPr>
        <w:t xml:space="preserve"> </w:t>
      </w:r>
      <w:r w:rsidR="00D61D43">
        <w:t xml:space="preserve">or warrior </w:t>
      </w:r>
      <w:r w:rsidR="00C15087">
        <w:t xml:space="preserve">caste. He </w:t>
      </w:r>
      <w:r w:rsidR="00062980">
        <w:t>quickly began to attract followers</w:t>
      </w:r>
      <w:r w:rsidR="00C15087">
        <w:t xml:space="preserve"> and</w:t>
      </w:r>
      <w:r w:rsidR="00062980">
        <w:t xml:space="preserve"> started to engage in interreligious debates with the Brahmin intellectual and religious elites of Madurai</w:t>
      </w:r>
      <w:r w:rsidR="00C15087">
        <w:t xml:space="preserve">. </w:t>
      </w:r>
      <w:r w:rsidR="002509FF">
        <w:t>In one of his earliest letters, he described his daily life</w:t>
      </w:r>
      <w:r w:rsidR="00316506">
        <w:t xml:space="preserve"> and revealed the central role discourse placed in his day</w:t>
      </w:r>
      <w:r w:rsidR="002509FF">
        <w:t xml:space="preserve">, writing, “After rising and saying Mass and commending myself to the Lord, I admit </w:t>
      </w:r>
      <w:proofErr w:type="spellStart"/>
      <w:r w:rsidR="002509FF">
        <w:t>any one</w:t>
      </w:r>
      <w:proofErr w:type="spellEnd"/>
      <w:r w:rsidR="002509FF">
        <w:t xml:space="preserve"> who wishes to </w:t>
      </w:r>
      <w:r w:rsidR="002509FF">
        <w:lastRenderedPageBreak/>
        <w:t xml:space="preserve">come to talk or discuss with me” (de Nobili to </w:t>
      </w:r>
      <w:proofErr w:type="spellStart"/>
      <w:r w:rsidR="002509FF">
        <w:t>Bellermino</w:t>
      </w:r>
      <w:proofErr w:type="spellEnd"/>
      <w:r w:rsidR="002509FF">
        <w:t>, December 1, 1607). These daily discussions became his mission. When he was not discussing, he was writing. He explained further, “The rest of the time, which is very short, I devote to writing refutations of some of the chief doctrines of these people, in their own language, which is very beautiful, very copious and most elegant (</w:t>
      </w:r>
      <w:proofErr w:type="spellStart"/>
      <w:r w:rsidR="002509FF">
        <w:rPr>
          <w:i/>
        </w:rPr>
        <w:t>bellissima</w:t>
      </w:r>
      <w:proofErr w:type="spellEnd"/>
      <w:r w:rsidR="002509FF">
        <w:rPr>
          <w:i/>
        </w:rPr>
        <w:t xml:space="preserve"> </w:t>
      </w:r>
      <w:proofErr w:type="spellStart"/>
      <w:r w:rsidR="002509FF">
        <w:rPr>
          <w:i/>
        </w:rPr>
        <w:t>copiosissima</w:t>
      </w:r>
      <w:proofErr w:type="spellEnd"/>
      <w:r w:rsidR="002509FF">
        <w:rPr>
          <w:i/>
        </w:rPr>
        <w:t xml:space="preserve"> e </w:t>
      </w:r>
      <w:r w:rsidR="002509FF" w:rsidRPr="00D40AE2">
        <w:rPr>
          <w:i/>
        </w:rPr>
        <w:t xml:space="preserve">molto </w:t>
      </w:r>
      <w:proofErr w:type="spellStart"/>
      <w:r w:rsidR="002509FF" w:rsidRPr="00D40AE2">
        <w:rPr>
          <w:i/>
        </w:rPr>
        <w:t>elegante</w:t>
      </w:r>
      <w:proofErr w:type="spellEnd"/>
      <w:r w:rsidR="002509FF" w:rsidRPr="00D40AE2">
        <w:t>)”</w:t>
      </w:r>
      <w:r w:rsidR="002509FF">
        <w:t xml:space="preserve"> (de Nobili to </w:t>
      </w:r>
      <w:proofErr w:type="spellStart"/>
      <w:r w:rsidR="002509FF">
        <w:t>Bellermino</w:t>
      </w:r>
      <w:proofErr w:type="spellEnd"/>
      <w:r w:rsidR="002509FF">
        <w:t>, December 1, 1607).</w:t>
      </w:r>
      <w:r w:rsidR="002509FF" w:rsidRPr="00D40AE2">
        <w:t xml:space="preserve"> </w:t>
      </w:r>
      <w:r w:rsidR="00062980">
        <w:t xml:space="preserve">While much of this early work has been lost, the rhetorical flair of de Nobili’s extant writing betray their embedding in both the rhetorical cultures of early modern Europe </w:t>
      </w:r>
      <w:r w:rsidR="00062980" w:rsidRPr="00C7749C">
        <w:rPr>
          <w:i/>
        </w:rPr>
        <w:t>and</w:t>
      </w:r>
      <w:r w:rsidR="00062980">
        <w:t xml:space="preserve"> India. </w:t>
      </w:r>
      <w:r w:rsidR="00EE71FF">
        <w:t>The sixteenth century was a lively period for Tamil (</w:t>
      </w:r>
      <w:r w:rsidR="00156D0B">
        <w:t xml:space="preserve">Narayana </w:t>
      </w:r>
      <w:r w:rsidR="00EE71FF" w:rsidRPr="00336DF8">
        <w:t xml:space="preserve">Rao, Shulman, and </w:t>
      </w:r>
      <w:proofErr w:type="spellStart"/>
      <w:r w:rsidR="00EE71FF" w:rsidRPr="00336DF8">
        <w:t>Subrahmanyam</w:t>
      </w:r>
      <w:proofErr w:type="spellEnd"/>
      <w:r w:rsidR="00316506">
        <w:t xml:space="preserve">). </w:t>
      </w:r>
      <w:r w:rsidR="00EE71FF">
        <w:t xml:space="preserve">Furthermore, this period saw what </w:t>
      </w:r>
      <w:proofErr w:type="spellStart"/>
      <w:r w:rsidR="00EE71FF">
        <w:t>Parimel</w:t>
      </w:r>
      <w:proofErr w:type="spellEnd"/>
      <w:r w:rsidR="00EE71FF">
        <w:t xml:space="preserve"> G. </w:t>
      </w:r>
      <w:proofErr w:type="spellStart"/>
      <w:r w:rsidR="00EE71FF">
        <w:t>Patil</w:t>
      </w:r>
      <w:proofErr w:type="spellEnd"/>
      <w:r w:rsidR="00EE71FF">
        <w:t xml:space="preserve"> has termed </w:t>
      </w:r>
      <w:proofErr w:type="spellStart"/>
      <w:r w:rsidR="00EE71FF" w:rsidRPr="005C2354">
        <w:rPr>
          <w:i/>
        </w:rPr>
        <w:t>nav</w:t>
      </w:r>
      <w:r w:rsidR="00EE71FF">
        <w:rPr>
          <w:i/>
        </w:rPr>
        <w:t>ya-nyā</w:t>
      </w:r>
      <w:r w:rsidR="00EE71FF" w:rsidRPr="005C2354">
        <w:rPr>
          <w:i/>
        </w:rPr>
        <w:t>ya</w:t>
      </w:r>
      <w:proofErr w:type="spellEnd"/>
      <w:r w:rsidR="00EE71FF">
        <w:t xml:space="preserve">, or “New Logic.” Both the </w:t>
      </w:r>
      <w:proofErr w:type="spellStart"/>
      <w:r w:rsidR="00EE71FF">
        <w:rPr>
          <w:i/>
        </w:rPr>
        <w:t>Nyāya-vaiśe</w:t>
      </w:r>
      <w:r w:rsidR="00EE71FF" w:rsidRPr="004066EE">
        <w:rPr>
          <w:bCs/>
          <w:i/>
        </w:rPr>
        <w:t>ṣ</w:t>
      </w:r>
      <w:r w:rsidR="00EE71FF" w:rsidRPr="004D41D0">
        <w:rPr>
          <w:i/>
        </w:rPr>
        <w:t>ika</w:t>
      </w:r>
      <w:proofErr w:type="spellEnd"/>
      <w:r w:rsidR="00EE71FF">
        <w:t xml:space="preserve"> and </w:t>
      </w:r>
      <w:proofErr w:type="spellStart"/>
      <w:r w:rsidR="00EE71FF" w:rsidRPr="004D41D0">
        <w:rPr>
          <w:i/>
        </w:rPr>
        <w:t>Vedānta</w:t>
      </w:r>
      <w:proofErr w:type="spellEnd"/>
      <w:r w:rsidR="00EE71FF">
        <w:t xml:space="preserve"> textual traditions experienced lively innovations during this period (“The End</w:t>
      </w:r>
      <w:r w:rsidR="005275D5">
        <w:t xml:space="preserve">,” </w:t>
      </w:r>
      <w:r w:rsidR="00EE71FF">
        <w:t xml:space="preserve">293). </w:t>
      </w:r>
      <w:r w:rsidR="00062980">
        <w:t xml:space="preserve">Meant not only to teach Christian doctrine but also to produce good Christians, De Nobili’s surviving </w:t>
      </w:r>
      <w:proofErr w:type="spellStart"/>
      <w:r w:rsidR="00062980" w:rsidRPr="00984A8F">
        <w:rPr>
          <w:i/>
        </w:rPr>
        <w:t>Nitya</w:t>
      </w:r>
      <w:proofErr w:type="spellEnd"/>
      <w:r w:rsidR="00062980" w:rsidRPr="00984A8F">
        <w:rPr>
          <w:i/>
        </w:rPr>
        <w:t xml:space="preserve"> </w:t>
      </w:r>
      <w:proofErr w:type="spellStart"/>
      <w:r w:rsidR="00062980" w:rsidRPr="00984A8F">
        <w:rPr>
          <w:i/>
        </w:rPr>
        <w:t>Jivani</w:t>
      </w:r>
      <w:proofErr w:type="spellEnd"/>
      <w:r w:rsidR="00062980" w:rsidRPr="00984A8F">
        <w:rPr>
          <w:i/>
        </w:rPr>
        <w:t xml:space="preserve"> </w:t>
      </w:r>
      <w:proofErr w:type="spellStart"/>
      <w:r w:rsidR="00062980" w:rsidRPr="00984A8F">
        <w:rPr>
          <w:i/>
        </w:rPr>
        <w:t>Collapam</w:t>
      </w:r>
      <w:proofErr w:type="spellEnd"/>
      <w:r w:rsidR="00062980">
        <w:t>,</w:t>
      </w:r>
      <w:r w:rsidR="00062980" w:rsidRPr="00984A8F">
        <w:rPr>
          <w:i/>
        </w:rPr>
        <w:t xml:space="preserve"> </w:t>
      </w:r>
      <w:r w:rsidR="005A525D">
        <w:t xml:space="preserve">or </w:t>
      </w:r>
      <w:r w:rsidR="005A525D" w:rsidRPr="005A525D">
        <w:rPr>
          <w:i/>
        </w:rPr>
        <w:t>The Dialogue on Eternal Life</w:t>
      </w:r>
      <w:r w:rsidR="005A525D">
        <w:t>,</w:t>
      </w:r>
      <w:r w:rsidR="00062980">
        <w:t xml:space="preserve"> demonstrates the w</w:t>
      </w:r>
      <w:r w:rsidR="00D61D43">
        <w:t>ay in which d</w:t>
      </w:r>
      <w:bookmarkStart w:id="1" w:name="_GoBack"/>
      <w:bookmarkEnd w:id="1"/>
      <w:r w:rsidR="00D61D43">
        <w:t>e Nobili engaged with</w:t>
      </w:r>
      <w:r w:rsidR="00062980">
        <w:t xml:space="preserve"> the rhetorical culture of Brahmin intellectuals. This surviving dialogue attempts to provide a description of Chr</w:t>
      </w:r>
      <w:r w:rsidR="006F7A0B">
        <w:t xml:space="preserve">istianity as the one true Veda. </w:t>
      </w:r>
      <w:r w:rsidR="00062980">
        <w:t xml:space="preserve">The text was written in Tamil prose in the style of a dialogue between a </w:t>
      </w:r>
      <w:r w:rsidR="00062980" w:rsidRPr="00F309BC">
        <w:rPr>
          <w:i/>
        </w:rPr>
        <w:t>guru</w:t>
      </w:r>
      <w:r w:rsidR="00062980">
        <w:t xml:space="preserve">, or teacher, and his </w:t>
      </w:r>
      <w:r w:rsidR="005F7123" w:rsidRPr="004066EE">
        <w:rPr>
          <w:bCs/>
          <w:i/>
        </w:rPr>
        <w:t>ṣ</w:t>
      </w:r>
      <w:r w:rsidR="005F7123">
        <w:rPr>
          <w:i/>
        </w:rPr>
        <w:t>i</w:t>
      </w:r>
      <w:r w:rsidR="005F7123" w:rsidRPr="004066EE">
        <w:rPr>
          <w:bCs/>
          <w:i/>
        </w:rPr>
        <w:t>ṣ</w:t>
      </w:r>
      <w:r w:rsidR="00062980" w:rsidRPr="00F309BC">
        <w:rPr>
          <w:i/>
        </w:rPr>
        <w:t>ya</w:t>
      </w:r>
      <w:r w:rsidR="00062980">
        <w:t xml:space="preserve">, or student. The </w:t>
      </w:r>
      <w:r w:rsidR="00062980" w:rsidRPr="005F7123">
        <w:rPr>
          <w:i/>
        </w:rPr>
        <w:t>guru/</w:t>
      </w:r>
      <w:r w:rsidR="005F7123" w:rsidRPr="004066EE">
        <w:rPr>
          <w:bCs/>
          <w:i/>
        </w:rPr>
        <w:t>ṣ</w:t>
      </w:r>
      <w:r w:rsidR="005F7123">
        <w:rPr>
          <w:i/>
        </w:rPr>
        <w:t>i</w:t>
      </w:r>
      <w:r w:rsidR="005F7123" w:rsidRPr="004066EE">
        <w:rPr>
          <w:bCs/>
          <w:i/>
        </w:rPr>
        <w:t>ṣ</w:t>
      </w:r>
      <w:r w:rsidR="005F7123" w:rsidRPr="00F309BC">
        <w:rPr>
          <w:i/>
        </w:rPr>
        <w:t>ya</w:t>
      </w:r>
      <w:r w:rsidR="005F7123">
        <w:t xml:space="preserve"> </w:t>
      </w:r>
      <w:r w:rsidR="00062980">
        <w:t xml:space="preserve">dialectic was </w:t>
      </w:r>
      <w:r w:rsidR="00D43540">
        <w:t xml:space="preserve">a mode of religious and cultural education in India and </w:t>
      </w:r>
      <w:r w:rsidR="00726A3D">
        <w:t xml:space="preserve">is preserved throughout </w:t>
      </w:r>
      <w:r w:rsidR="005F7123">
        <w:t>its</w:t>
      </w:r>
      <w:r w:rsidR="00726A3D">
        <w:t xml:space="preserve"> written tradition. </w:t>
      </w:r>
      <w:r w:rsidR="00062980">
        <w:t xml:space="preserve">De Nobili’s dialogue mimics both as a way to lead others into the truth </w:t>
      </w:r>
      <w:r w:rsidR="005A64EF">
        <w:t xml:space="preserve">and experience </w:t>
      </w:r>
      <w:r w:rsidR="00062980">
        <w:t xml:space="preserve">of </w:t>
      </w:r>
      <w:r w:rsidR="004522B1">
        <w:t>Christianity</w:t>
      </w:r>
      <w:r w:rsidR="00062980">
        <w:t xml:space="preserve">. </w:t>
      </w:r>
    </w:p>
    <w:p w14:paraId="721C4AD0" w14:textId="528C31A0" w:rsidR="0076788A" w:rsidRDefault="00D14827" w:rsidP="0076788A">
      <w:pPr>
        <w:spacing w:after="0" w:line="480" w:lineRule="auto"/>
        <w:ind w:firstLine="720"/>
      </w:pPr>
      <w:r>
        <w:t>Dialogue</w:t>
      </w:r>
      <w:r w:rsidR="0076788A">
        <w:t xml:space="preserve"> played a prominent role in the conversion narratives that de Nobili told. In the account of his first conversion, that of his Tamil teacher baptized under the name “Albert,” he wrote, first, that “he [Albert] argues with me about God, Transmigration, Creation etc., and seeing that reason was not on his side, he began to show himself </w:t>
      </w:r>
      <w:proofErr w:type="gramStart"/>
      <w:r w:rsidR="0076788A">
        <w:t>more humble</w:t>
      </w:r>
      <w:proofErr w:type="gramEnd"/>
      <w:r w:rsidR="0076788A">
        <w:t xml:space="preserve"> and respectful” (de Nobili to F</w:t>
      </w:r>
      <w:r w:rsidR="00156D0B">
        <w:t>r. General, December 1 1607</w:t>
      </w:r>
      <w:r w:rsidR="0076788A">
        <w:t>). De Nobili</w:t>
      </w:r>
      <w:r w:rsidR="00583B03">
        <w:t>,</w:t>
      </w:r>
      <w:r w:rsidR="0076788A">
        <w:t xml:space="preserve"> then</w:t>
      </w:r>
      <w:r w:rsidR="00583B03">
        <w:t>,</w:t>
      </w:r>
      <w:r w:rsidR="0076788A">
        <w:t xml:space="preserve"> began by conversing and </w:t>
      </w:r>
      <w:r w:rsidR="0076788A">
        <w:lastRenderedPageBreak/>
        <w:t xml:space="preserve">reasoning about God. These conversations eventually led to a more serious study of religion, and this is when the conversion came: </w:t>
      </w:r>
    </w:p>
    <w:p w14:paraId="426EF111" w14:textId="32686F1A" w:rsidR="0076788A" w:rsidRDefault="0076788A" w:rsidP="0076788A">
      <w:pPr>
        <w:spacing w:after="0" w:line="480" w:lineRule="auto"/>
        <w:ind w:left="1440"/>
      </w:pPr>
      <w:r>
        <w:t xml:space="preserve">“We agreed on studying our respective religions, and so we did during twenty days at the rate of four or five hours a day; and your Reverence must know that these people are not so ignorant as some men imagine. After I had instructed him thoroughly for twenty days, he declared himself satisfied on all points and asked me to baptize him, which I did with great joy, for he was the first in this city to hear the Truth and embrace it.” (de Nobili </w:t>
      </w:r>
      <w:r w:rsidR="00C50EC8">
        <w:t xml:space="preserve">to </w:t>
      </w:r>
      <w:proofErr w:type="spellStart"/>
      <w:r w:rsidR="00C50EC8">
        <w:t>Aquaviva</w:t>
      </w:r>
      <w:proofErr w:type="spellEnd"/>
      <w:r w:rsidR="00C50EC8">
        <w:t>, December 1 1607</w:t>
      </w:r>
      <w:r>
        <w:t xml:space="preserve">) </w:t>
      </w:r>
    </w:p>
    <w:p w14:paraId="69D2F59A" w14:textId="4F790AE1" w:rsidR="0076788A" w:rsidRPr="00D14827" w:rsidRDefault="0076788A" w:rsidP="0076788A">
      <w:pPr>
        <w:spacing w:after="0" w:line="480" w:lineRule="auto"/>
      </w:pPr>
      <w:r>
        <w:t>De Nobili evangelized through an intensive interpersonal inquiry into religion. The initial dialogue and following intensive study culminated in baptism. The student was to</w:t>
      </w:r>
      <w:r w:rsidR="00D14827">
        <w:t xml:space="preserve"> then</w:t>
      </w:r>
      <w:r>
        <w:t xml:space="preserve"> “embrace” Christianity.</w:t>
      </w:r>
      <w:r w:rsidR="00D14827">
        <w:t xml:space="preserve"> </w:t>
      </w:r>
      <w:r w:rsidR="00D14827">
        <w:rPr>
          <w:i/>
        </w:rPr>
        <w:t xml:space="preserve">The Dialogue on Eternal Life </w:t>
      </w:r>
      <w:r w:rsidR="00D14827">
        <w:t xml:space="preserve">demonstrated the way in which this kind of transformation was achieved. </w:t>
      </w:r>
    </w:p>
    <w:p w14:paraId="370F8CB4" w14:textId="19E78885" w:rsidR="000E5B3E" w:rsidRDefault="000E5B3E" w:rsidP="00A460F6">
      <w:pPr>
        <w:spacing w:after="0" w:line="480" w:lineRule="auto"/>
        <w:ind w:firstLine="720"/>
      </w:pPr>
      <w:r w:rsidRPr="005A525D">
        <w:rPr>
          <w:i/>
        </w:rPr>
        <w:t>T</w:t>
      </w:r>
      <w:r w:rsidR="005A525D" w:rsidRPr="005A525D">
        <w:rPr>
          <w:i/>
        </w:rPr>
        <w:t>he Dialogue on Eternal Life</w:t>
      </w:r>
      <w:r w:rsidR="00A01E45">
        <w:t xml:space="preserve"> wa</w:t>
      </w:r>
      <w:r>
        <w:t xml:space="preserve">s an exposition of the Christian faith as both reasonable and right. </w:t>
      </w:r>
      <w:r w:rsidR="0041723B">
        <w:t>As his translators</w:t>
      </w:r>
      <w:r w:rsidR="00A01E45">
        <w:t xml:space="preserve"> have pointed out, this placed</w:t>
      </w:r>
      <w:r w:rsidR="0063106D">
        <w:t xml:space="preserve"> the text clearly within a l</w:t>
      </w:r>
      <w:r w:rsidR="009B597A">
        <w:t xml:space="preserve">ineage of Christian apologetics that was rooted in </w:t>
      </w:r>
      <w:r w:rsidR="0063106D">
        <w:t>the logic of Thomas Aquinas</w:t>
      </w:r>
      <w:r w:rsidR="00583B03">
        <w:t xml:space="preserve"> (</w:t>
      </w:r>
      <w:proofErr w:type="spellStart"/>
      <w:r w:rsidR="00583B03">
        <w:t>Amal</w:t>
      </w:r>
      <w:r w:rsidR="001B3258">
        <w:t>a</w:t>
      </w:r>
      <w:r w:rsidR="00583B03">
        <w:t>dass</w:t>
      </w:r>
      <w:proofErr w:type="spellEnd"/>
      <w:r w:rsidR="001B3258">
        <w:t xml:space="preserve"> and Clooney</w:t>
      </w:r>
      <w:r w:rsidR="00583B03">
        <w:t>)</w:t>
      </w:r>
      <w:r w:rsidR="0063106D">
        <w:t>.</w:t>
      </w:r>
      <w:r w:rsidR="00F9670D">
        <w:t xml:space="preserve"> Yet, w</w:t>
      </w:r>
      <w:r w:rsidR="00A01E45">
        <w:t xml:space="preserve">hile much of the text was aimed at </w:t>
      </w:r>
      <w:r w:rsidR="009B597A">
        <w:t xml:space="preserve">providing a </w:t>
      </w:r>
      <w:r w:rsidR="00E51436">
        <w:t>reasoned</w:t>
      </w:r>
      <w:r w:rsidR="009B597A">
        <w:t xml:space="preserve"> definition </w:t>
      </w:r>
      <w:r w:rsidR="00E51436">
        <w:t>of</w:t>
      </w:r>
      <w:r w:rsidR="009B597A">
        <w:t xml:space="preserve"> truth</w:t>
      </w:r>
      <w:r w:rsidR="00A01E45">
        <w:t xml:space="preserve"> </w:t>
      </w:r>
      <w:r w:rsidR="006847DE">
        <w:t xml:space="preserve">in line with Christian theology, de Nobili’s </w:t>
      </w:r>
      <w:r w:rsidR="009B597A">
        <w:t xml:space="preserve">definition </w:t>
      </w:r>
      <w:r w:rsidR="006847DE">
        <w:t xml:space="preserve">also </w:t>
      </w:r>
      <w:r w:rsidR="00A01E45">
        <w:t>attempted</w:t>
      </w:r>
      <w:r>
        <w:t xml:space="preserve"> to align Christianity with </w:t>
      </w:r>
      <w:r w:rsidR="006847DE">
        <w:t>a Vedic tradition</w:t>
      </w:r>
      <w:r>
        <w:t>.</w:t>
      </w:r>
      <w:r w:rsidR="00A01E45">
        <w:t xml:space="preserve"> Furthermore, </w:t>
      </w:r>
      <w:r w:rsidR="00766B07">
        <w:t>his inquiry into truth</w:t>
      </w:r>
      <w:r w:rsidR="00A01E45">
        <w:t xml:space="preserve"> drew</w:t>
      </w:r>
      <w:r w:rsidR="009B597A">
        <w:t xml:space="preserve"> attention </w:t>
      </w:r>
      <w:r w:rsidR="00A01E45">
        <w:t>to—</w:t>
      </w:r>
      <w:r w:rsidR="009B597A">
        <w:t>a</w:t>
      </w:r>
      <w:r w:rsidR="00A01E45">
        <w:t>nd further motivated—</w:t>
      </w:r>
      <w:r w:rsidR="009B597A">
        <w:t>the dialogic nature of the text itself.</w:t>
      </w:r>
      <w:r w:rsidR="0063106D">
        <w:t xml:space="preserve"> </w:t>
      </w:r>
      <w:r w:rsidR="009B597A">
        <w:t xml:space="preserve">In the text, </w:t>
      </w:r>
      <w:r w:rsidR="00583B03">
        <w:t>d</w:t>
      </w:r>
      <w:r w:rsidR="0063106D">
        <w:t>e Nobili</w:t>
      </w:r>
      <w:r>
        <w:t xml:space="preserve"> </w:t>
      </w:r>
      <w:r w:rsidR="009B597A">
        <w:t>defined</w:t>
      </w:r>
      <w:r w:rsidR="0063106D">
        <w:t xml:space="preserve"> the role of truth within faith by</w:t>
      </w:r>
      <w:r>
        <w:t xml:space="preserve"> differentiating between knowledge, inference, and faith. De Nobili wrote th</w:t>
      </w:r>
      <w:r w:rsidR="00A01E45">
        <w:t xml:space="preserve">at knowledge is necessary </w:t>
      </w:r>
      <w:r>
        <w:t>but not always accessible to everyone. Thus, the Lord uses inference and faith to supplement what some cannot know via reason alone. De Nobili</w:t>
      </w:r>
      <w:r w:rsidR="009B597A">
        <w:t>, then,</w:t>
      </w:r>
      <w:r>
        <w:t xml:space="preserve"> </w:t>
      </w:r>
      <w:r w:rsidR="009B597A">
        <w:t>defined</w:t>
      </w:r>
      <w:r>
        <w:t xml:space="preserve"> knowledge, not as “knowing various </w:t>
      </w:r>
      <w:r w:rsidR="009B597A">
        <w:t>things,” but rather, he explained</w:t>
      </w:r>
      <w:r>
        <w:t>, “knowledge (</w:t>
      </w:r>
      <w:proofErr w:type="spellStart"/>
      <w:r w:rsidRPr="009001AA">
        <w:rPr>
          <w:i/>
        </w:rPr>
        <w:t>jñanam</w:t>
      </w:r>
      <w:proofErr w:type="spellEnd"/>
      <w:r>
        <w:t xml:space="preserve">) investigates that </w:t>
      </w:r>
      <w:r>
        <w:lastRenderedPageBreak/>
        <w:t>Reality which is both immanent and transcendent (</w:t>
      </w:r>
      <w:proofErr w:type="spellStart"/>
      <w:r w:rsidRPr="009001AA">
        <w:rPr>
          <w:i/>
        </w:rPr>
        <w:t>paraparavastu</w:t>
      </w:r>
      <w:proofErr w:type="spellEnd"/>
      <w:r>
        <w:t>) and has the form of knowledge; it is a knowledge which points out the meritorious means of reaching liberation (</w:t>
      </w:r>
      <w:proofErr w:type="spellStart"/>
      <w:r w:rsidRPr="005B2A61">
        <w:rPr>
          <w:i/>
        </w:rPr>
        <w:t>mok</w:t>
      </w:r>
      <w:r w:rsidR="005F7123" w:rsidRPr="004066EE">
        <w:rPr>
          <w:bCs/>
          <w:i/>
        </w:rPr>
        <w:t>ṣ</w:t>
      </w:r>
      <w:r w:rsidRPr="005B2A61">
        <w:rPr>
          <w:i/>
        </w:rPr>
        <w:t>a</w:t>
      </w:r>
      <w:proofErr w:type="spellEnd"/>
      <w:r>
        <w:t>)” (234). De Nobili</w:t>
      </w:r>
      <w:r w:rsidR="009B597A">
        <w:t>’</w:t>
      </w:r>
      <w:r w:rsidR="00A01E45">
        <w:t>s definition depended</w:t>
      </w:r>
      <w:r w:rsidR="009B597A">
        <w:t xml:space="preserve"> </w:t>
      </w:r>
      <w:r w:rsidR="00A01E45">
        <w:t>up</w:t>
      </w:r>
      <w:r w:rsidR="009B597A">
        <w:t>on the distinction betw</w:t>
      </w:r>
      <w:r w:rsidR="0063106D">
        <w:t>een</w:t>
      </w:r>
      <w:r>
        <w:t xml:space="preserve"> this Reality and reality. De Nobili</w:t>
      </w:r>
      <w:r w:rsidR="0063106D">
        <w:t xml:space="preserve"> wrote</w:t>
      </w:r>
      <w:r>
        <w:t>, “Nothing created is essentially true;” therefore, kno</w:t>
      </w:r>
      <w:r w:rsidR="00A01E45">
        <w:t>wledge is only that which existed</w:t>
      </w:r>
      <w:r>
        <w:t xml:space="preserve"> in the world as the “Veda,” the Word spoken by God, “that speech which makes known righteousness (</w:t>
      </w:r>
      <w:r w:rsidRPr="008250A1">
        <w:rPr>
          <w:i/>
        </w:rPr>
        <w:t>dharma</w:t>
      </w:r>
      <w:r>
        <w:t>) and unrighteousness (</w:t>
      </w:r>
      <w:proofErr w:type="spellStart"/>
      <w:r>
        <w:rPr>
          <w:i/>
        </w:rPr>
        <w:t>adharma</w:t>
      </w:r>
      <w:proofErr w:type="spellEnd"/>
      <w:r>
        <w:t xml:space="preserve">)” (236). </w:t>
      </w:r>
      <w:r w:rsidR="0063106D">
        <w:t>Anything else wa</w:t>
      </w:r>
      <w:r>
        <w:t xml:space="preserve">s partial, incomplete, different than </w:t>
      </w:r>
      <w:r w:rsidR="00A460F6">
        <w:t>a Reality that made</w:t>
      </w:r>
      <w:r w:rsidR="009B597A">
        <w:t xml:space="preserve"> itself known by being both</w:t>
      </w:r>
      <w:r>
        <w:t xml:space="preserve"> immanent and transcendent</w:t>
      </w:r>
      <w:r w:rsidR="00A460F6">
        <w:t xml:space="preserve">, </w:t>
      </w:r>
      <w:proofErr w:type="spellStart"/>
      <w:r w:rsidR="00A460F6" w:rsidRPr="009001AA">
        <w:rPr>
          <w:i/>
        </w:rPr>
        <w:t>paraparavast</w:t>
      </w:r>
      <w:r w:rsidR="00A460F6">
        <w:rPr>
          <w:i/>
        </w:rPr>
        <w:t>u</w:t>
      </w:r>
      <w:proofErr w:type="spellEnd"/>
      <w:r>
        <w:t xml:space="preserve">. </w:t>
      </w:r>
      <w:r w:rsidR="00A460F6">
        <w:t xml:space="preserve">De Nobili builds a definition of Christian truth as the Veda, building upon local concepts of </w:t>
      </w:r>
      <w:r w:rsidR="00A460F6">
        <w:rPr>
          <w:i/>
        </w:rPr>
        <w:t xml:space="preserve">dharma </w:t>
      </w:r>
      <w:r w:rsidR="00A460F6">
        <w:t xml:space="preserve">and </w:t>
      </w:r>
      <w:proofErr w:type="spellStart"/>
      <w:r w:rsidR="00A460F6">
        <w:rPr>
          <w:i/>
        </w:rPr>
        <w:t>mok</w:t>
      </w:r>
      <w:r w:rsidR="00A460F6" w:rsidRPr="004066EE">
        <w:rPr>
          <w:bCs/>
          <w:i/>
        </w:rPr>
        <w:t>ṣ</w:t>
      </w:r>
      <w:r w:rsidR="00A460F6">
        <w:rPr>
          <w:i/>
        </w:rPr>
        <w:t>a</w:t>
      </w:r>
      <w:proofErr w:type="spellEnd"/>
      <w:r w:rsidR="00A460F6">
        <w:t>. In constellating these terms, de Nobili engaged with</w:t>
      </w:r>
      <w:r w:rsidR="00583B03">
        <w:t xml:space="preserve"> the Indian tradition. He built</w:t>
      </w:r>
      <w:r w:rsidR="00A460F6">
        <w:t xml:space="preserve"> a foundation for his re-definition of the Veda or truth by aligning it with f</w:t>
      </w:r>
      <w:r w:rsidR="000601EF">
        <w:t>undamental</w:t>
      </w:r>
      <w:r w:rsidR="00A460F6">
        <w:t xml:space="preserve"> </w:t>
      </w:r>
      <w:r w:rsidR="000601EF">
        <w:t>Indian</w:t>
      </w:r>
      <w:r w:rsidR="00583B03">
        <w:t xml:space="preserve"> concepts.</w:t>
      </w:r>
      <w:r w:rsidR="00A460F6">
        <w:t xml:space="preserve"> </w:t>
      </w:r>
      <w:r w:rsidR="000601EF">
        <w:t>Knowledge</w:t>
      </w:r>
      <w:r w:rsidR="009B597A">
        <w:t>, rather than bein</w:t>
      </w:r>
      <w:r w:rsidR="00A460F6">
        <w:t>g an established set of facts, wa</w:t>
      </w:r>
      <w:r w:rsidR="009B597A">
        <w:t>s participation in a greater Reality.</w:t>
      </w:r>
      <w:r w:rsidR="00A460F6">
        <w:t xml:space="preserve"> </w:t>
      </w:r>
      <w:r>
        <w:t>This conception</w:t>
      </w:r>
      <w:r w:rsidR="00A01E45">
        <w:t xml:space="preserve"> of reality as Reality motivated</w:t>
      </w:r>
      <w:r w:rsidR="00A460F6">
        <w:t xml:space="preserve"> the dialogic</w:t>
      </w:r>
      <w:r>
        <w:t xml:space="preserve"> of the text.</w:t>
      </w:r>
      <w:r w:rsidR="009B597A">
        <w:t xml:space="preserve"> </w:t>
      </w:r>
      <w:r w:rsidR="00A01E45">
        <w:t>And, it wa</w:t>
      </w:r>
      <w:r w:rsidR="009B597A">
        <w:t xml:space="preserve">s </w:t>
      </w:r>
      <w:r w:rsidR="00A01E45">
        <w:t xml:space="preserve">this dialectic that </w:t>
      </w:r>
      <w:r w:rsidR="00A33A86">
        <w:t>up</w:t>
      </w:r>
      <w:r w:rsidR="000601EF">
        <w:t>held</w:t>
      </w:r>
      <w:r w:rsidR="00A33A86">
        <w:t xml:space="preserve"> </w:t>
      </w:r>
      <w:r w:rsidR="00A01E45">
        <w:t>the truth of the text</w:t>
      </w:r>
      <w:r w:rsidR="00A33A86">
        <w:t xml:space="preserve"> while also making it accessible</w:t>
      </w:r>
      <w:r w:rsidR="00583B03">
        <w:t xml:space="preserve"> to this new audience</w:t>
      </w:r>
      <w:r w:rsidR="00A01E45">
        <w:t>.</w:t>
      </w:r>
      <w:r w:rsidR="009B597A">
        <w:t xml:space="preserve"> </w:t>
      </w:r>
      <w:r w:rsidR="00A460F6">
        <w:t>De Nobili’s definition, in this sense, depended upon the text being a dialogue</w:t>
      </w:r>
      <w:r w:rsidR="000601EF">
        <w:t xml:space="preserve"> and drew attention to the essential nature o</w:t>
      </w:r>
      <w:r w:rsidR="003C2610">
        <w:t>f this form for understanding Christian truth</w:t>
      </w:r>
      <w:r w:rsidR="00A460F6">
        <w:t xml:space="preserve">. </w:t>
      </w:r>
      <w:r w:rsidR="00583B03">
        <w:t xml:space="preserve">He was not just mobilizing local </w:t>
      </w:r>
      <w:proofErr w:type="gramStart"/>
      <w:r w:rsidR="00583B03">
        <w:t>terms,</w:t>
      </w:r>
      <w:proofErr w:type="gramEnd"/>
      <w:r w:rsidR="00583B03">
        <w:t xml:space="preserve"> he was also mobilizing a local form—dialogue.</w:t>
      </w:r>
    </w:p>
    <w:p w14:paraId="0512D8E5" w14:textId="3B8AE49A" w:rsidR="001E38A4" w:rsidRPr="00AC1A70" w:rsidRDefault="001E38A4" w:rsidP="001E38A4">
      <w:pPr>
        <w:spacing w:after="0" w:line="480" w:lineRule="auto"/>
        <w:ind w:firstLine="720"/>
      </w:pPr>
      <w:r>
        <w:t xml:space="preserve">Dialogue is an important rhetorical form used in the Indian tradition, found as far back as the </w:t>
      </w:r>
      <w:proofErr w:type="spellStart"/>
      <w:r w:rsidR="003C2610">
        <w:rPr>
          <w:i/>
        </w:rPr>
        <w:t>R</w:t>
      </w:r>
      <w:r w:rsidRPr="00811DA0">
        <w:rPr>
          <w:i/>
        </w:rPr>
        <w:t>g</w:t>
      </w:r>
      <w:proofErr w:type="spellEnd"/>
      <w:r w:rsidRPr="00811DA0">
        <w:rPr>
          <w:i/>
        </w:rPr>
        <w:t xml:space="preserve"> Veda</w:t>
      </w:r>
      <w:r>
        <w:rPr>
          <w:i/>
        </w:rPr>
        <w:t xml:space="preserve"> </w:t>
      </w:r>
      <w:r>
        <w:t xml:space="preserve">and the </w:t>
      </w:r>
      <w:r>
        <w:rPr>
          <w:i/>
        </w:rPr>
        <w:t>Upani</w:t>
      </w:r>
      <w:r w:rsidRPr="004066EE">
        <w:rPr>
          <w:bCs/>
          <w:i/>
        </w:rPr>
        <w:t>ṣ</w:t>
      </w:r>
      <w:r>
        <w:rPr>
          <w:i/>
        </w:rPr>
        <w:t>ad</w:t>
      </w:r>
      <w:r w:rsidR="00D05BF6">
        <w:rPr>
          <w:i/>
        </w:rPr>
        <w:t>s</w:t>
      </w:r>
      <w:r>
        <w:t xml:space="preserve">. Because these </w:t>
      </w:r>
      <w:r w:rsidR="00583B03">
        <w:t xml:space="preserve">classic </w:t>
      </w:r>
      <w:r>
        <w:t>texts were transmitted orally over generations from teacher to student, Indian dialogues mirror</w:t>
      </w:r>
      <w:r w:rsidR="00D05BF6">
        <w:t>ed</w:t>
      </w:r>
      <w:r>
        <w:t xml:space="preserve"> their own transmission. Dialogue, then, was used to demonstrate how certain teachings emerged from larger conversations while also allowing these texts to negotiate authority, introduce new ideas, and mediate difference (Black and Patton 1-2). Dialogues </w:t>
      </w:r>
      <w:r w:rsidR="00D05BF6">
        <w:t>did</w:t>
      </w:r>
      <w:r>
        <w:t xml:space="preserve"> not just structure Indian texts, </w:t>
      </w:r>
      <w:r w:rsidR="00D05BF6">
        <w:t xml:space="preserve">though, </w:t>
      </w:r>
      <w:r>
        <w:t xml:space="preserve">they also </w:t>
      </w:r>
      <w:r>
        <w:lastRenderedPageBreak/>
        <w:t>demonstrate</w:t>
      </w:r>
      <w:r w:rsidR="00D05BF6">
        <w:t>d</w:t>
      </w:r>
      <w:r>
        <w:t xml:space="preserve"> the me</w:t>
      </w:r>
      <w:r w:rsidR="00D05BF6">
        <w:t xml:space="preserve">tonymic function that words could </w:t>
      </w:r>
      <w:r>
        <w:t xml:space="preserve">play within Vedic rituals. </w:t>
      </w:r>
      <w:r w:rsidR="00D05BF6">
        <w:t xml:space="preserve">Within texts like the </w:t>
      </w:r>
      <w:proofErr w:type="spellStart"/>
      <w:r w:rsidR="00C50EC8">
        <w:rPr>
          <w:i/>
        </w:rPr>
        <w:t>R</w:t>
      </w:r>
      <w:r w:rsidR="00D05BF6" w:rsidRPr="00D05BF6">
        <w:rPr>
          <w:i/>
        </w:rPr>
        <w:t>g</w:t>
      </w:r>
      <w:proofErr w:type="spellEnd"/>
      <w:r w:rsidR="00D05BF6" w:rsidRPr="00D05BF6">
        <w:rPr>
          <w:i/>
        </w:rPr>
        <w:t xml:space="preserve"> Veda</w:t>
      </w:r>
      <w:r w:rsidR="00D05BF6">
        <w:t>, d</w:t>
      </w:r>
      <w:r w:rsidRPr="00D05BF6">
        <w:t>ialogue</w:t>
      </w:r>
      <w:r>
        <w:t xml:space="preserve"> </w:t>
      </w:r>
      <w:r w:rsidR="00D05BF6">
        <w:t>wa</w:t>
      </w:r>
      <w:r>
        <w:t xml:space="preserve">s enacted and concrete, a form for contemplating the power of speech itself. </w:t>
      </w:r>
      <w:r w:rsidR="00D05BF6">
        <w:t>B</w:t>
      </w:r>
      <w:r>
        <w:t>ased on an Upanishadic mo</w:t>
      </w:r>
      <w:r w:rsidR="00D05BF6">
        <w:t>del of inquiry</w:t>
      </w:r>
      <w:r w:rsidR="00593F15">
        <w:t>,</w:t>
      </w:r>
      <w:r w:rsidR="00D05BF6">
        <w:t xml:space="preserve"> where knowledge wa</w:t>
      </w:r>
      <w:r>
        <w:t>s created through discussion,</w:t>
      </w:r>
      <w:r w:rsidR="00D05BF6">
        <w:t xml:space="preserve"> d</w:t>
      </w:r>
      <w:r w:rsidR="00593F15">
        <w:t>ialogues</w:t>
      </w:r>
      <w:r w:rsidR="00D05BF6">
        <w:t xml:space="preserve"> could just as well emphasize </w:t>
      </w:r>
      <w:proofErr w:type="spellStart"/>
      <w:r w:rsidR="00D05BF6">
        <w:t>intersubjectivity</w:t>
      </w:r>
      <w:proofErr w:type="spellEnd"/>
      <w:r>
        <w:t xml:space="preserve"> (</w:t>
      </w:r>
      <w:proofErr w:type="spellStart"/>
      <w:r w:rsidR="00D05BF6">
        <w:t>Rohlman</w:t>
      </w:r>
      <w:proofErr w:type="spellEnd"/>
      <w:r w:rsidR="00D05BF6">
        <w:t xml:space="preserve"> </w:t>
      </w:r>
      <w:r>
        <w:t>140). In this sen</w:t>
      </w:r>
      <w:r w:rsidR="00D05BF6">
        <w:t>se, dialogue also represented evolution beyond</w:t>
      </w:r>
      <w:r>
        <w:t xml:space="preserve"> ritual </w:t>
      </w:r>
      <w:r w:rsidR="00D05BF6">
        <w:t>towards intellectual inquiry, with t</w:t>
      </w:r>
      <w:r>
        <w:t xml:space="preserve">he </w:t>
      </w:r>
      <w:r w:rsidRPr="00880EF4">
        <w:rPr>
          <w:i/>
        </w:rPr>
        <w:t>guru/</w:t>
      </w:r>
      <w:r w:rsidR="00593F15" w:rsidRPr="00593F15">
        <w:rPr>
          <w:bCs/>
          <w:i/>
        </w:rPr>
        <w:t xml:space="preserve"> </w:t>
      </w:r>
      <w:r w:rsidR="00593F15" w:rsidRPr="004066EE">
        <w:rPr>
          <w:bCs/>
          <w:i/>
        </w:rPr>
        <w:t>ṣ</w:t>
      </w:r>
      <w:r w:rsidR="00593F15">
        <w:rPr>
          <w:i/>
        </w:rPr>
        <w:t>i</w:t>
      </w:r>
      <w:r w:rsidR="00593F15" w:rsidRPr="004066EE">
        <w:rPr>
          <w:bCs/>
          <w:i/>
        </w:rPr>
        <w:t>ṣ</w:t>
      </w:r>
      <w:r w:rsidR="00593F15" w:rsidRPr="00F309BC">
        <w:rPr>
          <w:i/>
        </w:rPr>
        <w:t>ya</w:t>
      </w:r>
      <w:r>
        <w:t xml:space="preserve"> dialectic </w:t>
      </w:r>
      <w:r w:rsidR="00D05BF6">
        <w:t>becoming a</w:t>
      </w:r>
      <w:r>
        <w:t xml:space="preserve"> vehicle of knowledge</w:t>
      </w:r>
      <w:r w:rsidR="00D05BF6">
        <w:t>. Because the guru represented</w:t>
      </w:r>
      <w:r>
        <w:t xml:space="preserve"> the embodiment of knowledge </w:t>
      </w:r>
      <w:r w:rsidR="00593F15">
        <w:t xml:space="preserve">that was </w:t>
      </w:r>
      <w:r>
        <w:t xml:space="preserve">arrived </w:t>
      </w:r>
      <w:r w:rsidR="00D05BF6">
        <w:t>at through discursive exchange, k</w:t>
      </w:r>
      <w:r>
        <w:t xml:space="preserve">nowledge developed its own lineage </w:t>
      </w:r>
      <w:proofErr w:type="spellStart"/>
      <w:r w:rsidRPr="0087663E">
        <w:rPr>
          <w:i/>
        </w:rPr>
        <w:t>param-parā</w:t>
      </w:r>
      <w:proofErr w:type="spellEnd"/>
      <w:r>
        <w:t>,</w:t>
      </w:r>
      <w:r>
        <w:rPr>
          <w:i/>
        </w:rPr>
        <w:t xml:space="preserve"> </w:t>
      </w:r>
      <w:r w:rsidR="00C50EC8">
        <w:t>from one to another (</w:t>
      </w:r>
      <w:proofErr w:type="spellStart"/>
      <w:r w:rsidR="00C50EC8">
        <w:t>Doniger</w:t>
      </w:r>
      <w:proofErr w:type="spellEnd"/>
      <w:r w:rsidR="00C50EC8">
        <w:t xml:space="preserve"> </w:t>
      </w:r>
      <w:r w:rsidR="00583B03">
        <w:t xml:space="preserve">140). Dialogue </w:t>
      </w:r>
      <w:r w:rsidR="00D05BF6">
        <w:t>could act</w:t>
      </w:r>
      <w:r>
        <w:t xml:space="preserve"> as </w:t>
      </w:r>
      <w:r w:rsidR="00D05BF6">
        <w:t xml:space="preserve">both </w:t>
      </w:r>
      <w:r>
        <w:t xml:space="preserve">the means of knowledge and the source of its own </w:t>
      </w:r>
      <w:r w:rsidR="00D05BF6">
        <w:t xml:space="preserve">authority. In </w:t>
      </w:r>
      <w:r w:rsidR="00583B03">
        <w:t>using this form, de Nobili played</w:t>
      </w:r>
      <w:r w:rsidR="00D05BF6">
        <w:t xml:space="preserve"> with</w:t>
      </w:r>
      <w:r w:rsidR="00583B03">
        <w:t xml:space="preserve"> this tradition and utilized</w:t>
      </w:r>
      <w:r w:rsidR="00593F15">
        <w:t xml:space="preserve"> dialogue’s</w:t>
      </w:r>
      <w:r w:rsidR="00D05BF6">
        <w:t xml:space="preserve"> potential as both a </w:t>
      </w:r>
      <w:r w:rsidR="006D10D7">
        <w:t xml:space="preserve">vehicle and agent of knowledge to foreground Christian </w:t>
      </w:r>
      <w:r w:rsidR="00096FD7">
        <w:t>ways of knowing/being</w:t>
      </w:r>
      <w:r w:rsidR="006D10D7">
        <w:t>.</w:t>
      </w:r>
      <w:r w:rsidR="00096FD7">
        <w:t xml:space="preserve"> </w:t>
      </w:r>
    </w:p>
    <w:p w14:paraId="7D9B0E5E" w14:textId="57B65E05" w:rsidR="00727206" w:rsidRDefault="006F7A0B" w:rsidP="00EE71FF">
      <w:pPr>
        <w:spacing w:after="0" w:line="480" w:lineRule="auto"/>
        <w:ind w:firstLine="720"/>
        <w:rPr>
          <w:color w:val="auto"/>
        </w:rPr>
      </w:pPr>
      <w:r>
        <w:rPr>
          <w:color w:val="auto"/>
        </w:rPr>
        <w:t>De Nobili’s dialogue, in fact, opened</w:t>
      </w:r>
      <w:r w:rsidR="001E38A4">
        <w:rPr>
          <w:color w:val="auto"/>
        </w:rPr>
        <w:t xml:space="preserve"> with a definition of the form itself. </w:t>
      </w:r>
      <w:r>
        <w:rPr>
          <w:color w:val="auto"/>
        </w:rPr>
        <w:t>This move foregrounded his</w:t>
      </w:r>
      <w:r w:rsidR="005A525D">
        <w:rPr>
          <w:color w:val="auto"/>
        </w:rPr>
        <w:t xml:space="preserve"> calculated</w:t>
      </w:r>
      <w:r>
        <w:rPr>
          <w:color w:val="auto"/>
        </w:rPr>
        <w:t xml:space="preserve"> choice of the form and connected this choice to his purpose. </w:t>
      </w:r>
      <w:r w:rsidR="001E38A4">
        <w:rPr>
          <w:color w:val="auto"/>
        </w:rPr>
        <w:t xml:space="preserve">He </w:t>
      </w:r>
      <w:r>
        <w:rPr>
          <w:color w:val="auto"/>
        </w:rPr>
        <w:t>wrote</w:t>
      </w:r>
      <w:r w:rsidR="001E38A4">
        <w:rPr>
          <w:color w:val="auto"/>
        </w:rPr>
        <w:t xml:space="preserve">, “Since we shall throw light on eternal life by answering the questions you raise, this book is called </w:t>
      </w:r>
      <w:r w:rsidR="001E38A4">
        <w:rPr>
          <w:i/>
          <w:color w:val="auto"/>
        </w:rPr>
        <w:t xml:space="preserve">The Dialogue on </w:t>
      </w:r>
      <w:r w:rsidR="001E38A4" w:rsidRPr="009E635C">
        <w:rPr>
          <w:i/>
          <w:color w:val="auto"/>
        </w:rPr>
        <w:t>Eternal Life</w:t>
      </w:r>
      <w:r w:rsidR="001E38A4">
        <w:rPr>
          <w:color w:val="auto"/>
        </w:rPr>
        <w:t>. For ‘dialogue’ (</w:t>
      </w:r>
      <w:proofErr w:type="spellStart"/>
      <w:r w:rsidR="001E38A4" w:rsidRPr="009722C6">
        <w:rPr>
          <w:i/>
          <w:color w:val="auto"/>
        </w:rPr>
        <w:t>collapam</w:t>
      </w:r>
      <w:proofErr w:type="spellEnd"/>
      <w:r w:rsidR="001E38A4">
        <w:rPr>
          <w:color w:val="auto"/>
        </w:rPr>
        <w:t>) means ‘raising questions and answering them.’ This</w:t>
      </w:r>
      <w:r w:rsidR="005A525D">
        <w:rPr>
          <w:color w:val="auto"/>
        </w:rPr>
        <w:t xml:space="preserve"> is a dialogue ‘on eternal life</w:t>
      </w:r>
      <w:r w:rsidR="001E38A4">
        <w:rPr>
          <w:color w:val="auto"/>
        </w:rPr>
        <w:t>’</w:t>
      </w:r>
      <w:r w:rsidR="005A525D">
        <w:rPr>
          <w:color w:val="auto"/>
        </w:rPr>
        <w:t xml:space="preserve"> (</w:t>
      </w:r>
      <w:proofErr w:type="spellStart"/>
      <w:r w:rsidR="005A525D">
        <w:rPr>
          <w:i/>
        </w:rPr>
        <w:t>nitya</w:t>
      </w:r>
      <w:proofErr w:type="spellEnd"/>
      <w:r w:rsidR="005A525D">
        <w:rPr>
          <w:i/>
        </w:rPr>
        <w:t xml:space="preserve"> </w:t>
      </w:r>
      <w:proofErr w:type="spellStart"/>
      <w:r w:rsidR="005A525D">
        <w:rPr>
          <w:i/>
        </w:rPr>
        <w:t>j</w:t>
      </w:r>
      <w:r w:rsidR="005A525D" w:rsidRPr="00984A8F">
        <w:rPr>
          <w:i/>
        </w:rPr>
        <w:t>ivani</w:t>
      </w:r>
      <w:proofErr w:type="spellEnd"/>
      <w:r w:rsidR="005A525D">
        <w:t>)</w:t>
      </w:r>
      <w:r w:rsidR="005A525D">
        <w:rPr>
          <w:i/>
        </w:rPr>
        <w:t>,</w:t>
      </w:r>
      <w:r w:rsidR="001E38A4">
        <w:rPr>
          <w:color w:val="auto"/>
        </w:rPr>
        <w:t xml:space="preserve"> since we are inquiring together into liberation</w:t>
      </w:r>
      <w:r w:rsidR="005A525D">
        <w:rPr>
          <w:color w:val="auto"/>
        </w:rPr>
        <w:t xml:space="preserve"> (</w:t>
      </w:r>
      <w:proofErr w:type="spellStart"/>
      <w:r w:rsidR="005A525D">
        <w:rPr>
          <w:i/>
        </w:rPr>
        <w:t>mok</w:t>
      </w:r>
      <w:r w:rsidR="005A525D" w:rsidRPr="004066EE">
        <w:rPr>
          <w:bCs/>
          <w:i/>
        </w:rPr>
        <w:t>ṣ</w:t>
      </w:r>
      <w:r w:rsidR="005A525D">
        <w:rPr>
          <w:i/>
        </w:rPr>
        <w:t>a</w:t>
      </w:r>
      <w:proofErr w:type="spellEnd"/>
      <w:r w:rsidR="005A525D">
        <w:t>)</w:t>
      </w:r>
      <w:r w:rsidR="001E38A4">
        <w:rPr>
          <w:color w:val="auto"/>
        </w:rPr>
        <w:t>, which is eternal” (233).</w:t>
      </w:r>
      <w:r w:rsidR="00624E29">
        <w:rPr>
          <w:color w:val="auto"/>
        </w:rPr>
        <w:t xml:space="preserve"> In defining his dialogue </w:t>
      </w:r>
      <w:r w:rsidR="005A525D">
        <w:rPr>
          <w:color w:val="auto"/>
        </w:rPr>
        <w:t>upfront</w:t>
      </w:r>
      <w:r w:rsidR="00624E29">
        <w:rPr>
          <w:color w:val="auto"/>
        </w:rPr>
        <w:t xml:space="preserve">, he also demonstrated his awareness of the dialogic </w:t>
      </w:r>
      <w:r w:rsidR="005A525D">
        <w:rPr>
          <w:color w:val="auto"/>
        </w:rPr>
        <w:t xml:space="preserve">Indian </w:t>
      </w:r>
      <w:r w:rsidR="00624E29">
        <w:rPr>
          <w:color w:val="auto"/>
        </w:rPr>
        <w:t>tradition and the importance of colloquy for inquiry</w:t>
      </w:r>
      <w:r>
        <w:rPr>
          <w:color w:val="auto"/>
        </w:rPr>
        <w:t xml:space="preserve">. </w:t>
      </w:r>
      <w:r w:rsidR="005A525D">
        <w:rPr>
          <w:color w:val="auto"/>
        </w:rPr>
        <w:t>This emphasis on</w:t>
      </w:r>
      <w:r w:rsidR="00624E29">
        <w:rPr>
          <w:color w:val="auto"/>
        </w:rPr>
        <w:t xml:space="preserve"> “inquiring together” is carried throughout the text. The progression of the text is fueled by the student’s questions</w:t>
      </w:r>
      <w:r w:rsidR="005A525D">
        <w:rPr>
          <w:color w:val="auto"/>
        </w:rPr>
        <w:t>,</w:t>
      </w:r>
      <w:r w:rsidR="00624E29">
        <w:rPr>
          <w:color w:val="auto"/>
        </w:rPr>
        <w:t xml:space="preserve"> and these questions</w:t>
      </w:r>
      <w:r w:rsidR="005A525D">
        <w:rPr>
          <w:color w:val="auto"/>
        </w:rPr>
        <w:t xml:space="preserve"> </w:t>
      </w:r>
      <w:r w:rsidR="00624E29">
        <w:rPr>
          <w:color w:val="auto"/>
        </w:rPr>
        <w:t>provided de Nobili with the opportunity to engage with the Indian intellectual tradition throughout the text. Questions like</w:t>
      </w:r>
      <w:r w:rsidR="001E38A4">
        <w:rPr>
          <w:color w:val="auto"/>
        </w:rPr>
        <w:t>, “You say that ‘Veda’ means ‘the truth revealed by the Lord.’ But some say that ‘Veda’ means ‘words spoken by trustworthy people.’ Could these two be the same?”</w:t>
      </w:r>
      <w:r w:rsidR="00624E29">
        <w:rPr>
          <w:color w:val="auto"/>
        </w:rPr>
        <w:t xml:space="preserve">, integrate the perspective </w:t>
      </w:r>
      <w:r w:rsidR="00624E29">
        <w:rPr>
          <w:color w:val="auto"/>
        </w:rPr>
        <w:lastRenderedPageBreak/>
        <w:t xml:space="preserve">of </w:t>
      </w:r>
      <w:proofErr w:type="spellStart"/>
      <w:r w:rsidR="00C95C82">
        <w:rPr>
          <w:i/>
          <w:color w:val="auto"/>
        </w:rPr>
        <w:t>nyā</w:t>
      </w:r>
      <w:r w:rsidR="00624E29">
        <w:rPr>
          <w:i/>
          <w:color w:val="auto"/>
        </w:rPr>
        <w:t>ya</w:t>
      </w:r>
      <w:proofErr w:type="spellEnd"/>
      <w:r w:rsidR="00624E29">
        <w:rPr>
          <w:i/>
          <w:color w:val="auto"/>
        </w:rPr>
        <w:t xml:space="preserve"> </w:t>
      </w:r>
      <w:r w:rsidR="00624E29">
        <w:rPr>
          <w:color w:val="auto"/>
        </w:rPr>
        <w:t>logic into text (235)</w:t>
      </w:r>
      <w:r w:rsidR="00FA22D4">
        <w:rPr>
          <w:color w:val="auto"/>
        </w:rPr>
        <w:t xml:space="preserve">. </w:t>
      </w:r>
      <w:proofErr w:type="spellStart"/>
      <w:r w:rsidR="00C95C82" w:rsidRPr="00C95C82">
        <w:rPr>
          <w:i/>
          <w:color w:val="auto"/>
        </w:rPr>
        <w:t>Naiyyayika</w:t>
      </w:r>
      <w:proofErr w:type="spellEnd"/>
      <w:r w:rsidR="00C95C82">
        <w:rPr>
          <w:i/>
          <w:color w:val="auto"/>
        </w:rPr>
        <w:t xml:space="preserve"> </w:t>
      </w:r>
      <w:r w:rsidR="00C95C82">
        <w:rPr>
          <w:color w:val="auto"/>
        </w:rPr>
        <w:t>scholars</w:t>
      </w:r>
      <w:r w:rsidR="00FA22D4">
        <w:rPr>
          <w:color w:val="auto"/>
        </w:rPr>
        <w:t xml:space="preserve"> contend</w:t>
      </w:r>
      <w:r w:rsidR="00C95C82">
        <w:rPr>
          <w:color w:val="auto"/>
        </w:rPr>
        <w:t>ed that authority wa</w:t>
      </w:r>
      <w:r w:rsidR="00FA22D4">
        <w:rPr>
          <w:color w:val="auto"/>
        </w:rPr>
        <w:t>s embodied in</w:t>
      </w:r>
      <w:r w:rsidR="00C95C82">
        <w:rPr>
          <w:color w:val="auto"/>
        </w:rPr>
        <w:t xml:space="preserve"> the speaker and therein ensured</w:t>
      </w:r>
      <w:r w:rsidR="00FA22D4">
        <w:rPr>
          <w:color w:val="auto"/>
        </w:rPr>
        <w:t xml:space="preserve"> the veracity</w:t>
      </w:r>
      <w:r w:rsidR="00727206">
        <w:rPr>
          <w:color w:val="auto"/>
        </w:rPr>
        <w:t xml:space="preserve"> of a text. </w:t>
      </w:r>
      <w:r w:rsidR="00D14827">
        <w:t>In many letters, dialogues becam</w:t>
      </w:r>
      <w:r w:rsidR="00EE71FF">
        <w:t>e the way that de Nobili refuted criticism and engaged</w:t>
      </w:r>
      <w:r w:rsidR="00D14827">
        <w:t xml:space="preserve"> new followers. De Nobili was able to persuade his first convert’s former </w:t>
      </w:r>
      <w:r w:rsidR="00D14827" w:rsidRPr="00076AE7">
        <w:rPr>
          <w:i/>
        </w:rPr>
        <w:t>guru</w:t>
      </w:r>
      <w:r w:rsidR="00D14827">
        <w:t xml:space="preserve">, a renowned </w:t>
      </w:r>
      <w:proofErr w:type="spellStart"/>
      <w:r w:rsidR="00D14827" w:rsidRPr="00076AE7">
        <w:rPr>
          <w:i/>
        </w:rPr>
        <w:t>pandaram</w:t>
      </w:r>
      <w:proofErr w:type="spellEnd"/>
      <w:r w:rsidR="00D14827">
        <w:t>,</w:t>
      </w:r>
      <w:r w:rsidR="00D14827" w:rsidRPr="00076AE7">
        <w:rPr>
          <w:i/>
        </w:rPr>
        <w:t xml:space="preserve"> </w:t>
      </w:r>
      <w:r w:rsidR="00EE71FF">
        <w:t xml:space="preserve">to support his conversion and even spread de Nobili’s Christian doctrine after they had a discussion </w:t>
      </w:r>
      <w:r w:rsidR="00D14827">
        <w:t>(</w:t>
      </w:r>
      <w:proofErr w:type="spellStart"/>
      <w:r w:rsidR="00D14827">
        <w:t>Laerzio</w:t>
      </w:r>
      <w:proofErr w:type="spellEnd"/>
      <w:r w:rsidR="00D14827">
        <w:t xml:space="preserve"> to </w:t>
      </w:r>
      <w:proofErr w:type="spellStart"/>
      <w:r w:rsidR="00D14827">
        <w:t>Aquaviva</w:t>
      </w:r>
      <w:proofErr w:type="spellEnd"/>
      <w:r w:rsidR="00D14827">
        <w:t>, November 20, 16</w:t>
      </w:r>
      <w:r w:rsidR="00EE71FF">
        <w:t>09). De Nobili wa</w:t>
      </w:r>
      <w:r w:rsidR="00D14827">
        <w:t>s engaging with methods of religious te</w:t>
      </w:r>
      <w:r w:rsidR="00EE71FF">
        <w:t xml:space="preserve">aching and discussion that were </w:t>
      </w:r>
      <w:r w:rsidR="00D14827">
        <w:t>already in place</w:t>
      </w:r>
      <w:r w:rsidR="00C13F83">
        <w:t>, and dialogue became a place for de Nobili to enter into the religious conversation in India</w:t>
      </w:r>
      <w:r w:rsidR="00D14827">
        <w:t xml:space="preserve">. </w:t>
      </w:r>
      <w:r w:rsidR="00727206">
        <w:rPr>
          <w:color w:val="auto"/>
        </w:rPr>
        <w:t>T</w:t>
      </w:r>
      <w:r w:rsidR="00FA22D4">
        <w:rPr>
          <w:color w:val="auto"/>
        </w:rPr>
        <w:t>his question</w:t>
      </w:r>
      <w:r w:rsidR="00EE71FF">
        <w:rPr>
          <w:color w:val="auto"/>
        </w:rPr>
        <w:t>, then,</w:t>
      </w:r>
      <w:r w:rsidR="00FA22D4">
        <w:rPr>
          <w:color w:val="auto"/>
        </w:rPr>
        <w:t xml:space="preserve"> provided de Nobili with th</w:t>
      </w:r>
      <w:r w:rsidR="00C95C82">
        <w:rPr>
          <w:color w:val="auto"/>
        </w:rPr>
        <w:t>e opportunity to anticipate criticism against</w:t>
      </w:r>
      <w:r w:rsidR="00FA22D4">
        <w:rPr>
          <w:color w:val="auto"/>
        </w:rPr>
        <w:t xml:space="preserve"> his claim </w:t>
      </w:r>
      <w:r w:rsidR="00727206">
        <w:rPr>
          <w:color w:val="auto"/>
        </w:rPr>
        <w:t>(</w:t>
      </w:r>
      <w:r w:rsidR="00FA22D4">
        <w:rPr>
          <w:color w:val="auto"/>
        </w:rPr>
        <w:t>that the Veda is only revealed by the Lord</w:t>
      </w:r>
      <w:r w:rsidR="00727206">
        <w:rPr>
          <w:color w:val="auto"/>
        </w:rPr>
        <w:t>)</w:t>
      </w:r>
      <w:r w:rsidR="00FA22D4">
        <w:rPr>
          <w:color w:val="auto"/>
        </w:rPr>
        <w:t xml:space="preserve"> and set up a different definition of rhetorical authority and agency. </w:t>
      </w:r>
      <w:r w:rsidR="00727206">
        <w:rPr>
          <w:color w:val="auto"/>
        </w:rPr>
        <w:t>O</w:t>
      </w:r>
      <w:r w:rsidR="00624E29">
        <w:rPr>
          <w:color w:val="auto"/>
        </w:rPr>
        <w:t>ther questions provide</w:t>
      </w:r>
      <w:r w:rsidR="00C95C82">
        <w:rPr>
          <w:color w:val="auto"/>
        </w:rPr>
        <w:t>d</w:t>
      </w:r>
      <w:r w:rsidR="00624E29">
        <w:rPr>
          <w:color w:val="auto"/>
        </w:rPr>
        <w:t xml:space="preserve"> an opportunity for further clarification,</w:t>
      </w:r>
      <w:r w:rsidR="001E38A4">
        <w:rPr>
          <w:color w:val="auto"/>
        </w:rPr>
        <w:t xml:space="preserve"> </w:t>
      </w:r>
      <w:r w:rsidR="00624E29">
        <w:rPr>
          <w:color w:val="auto"/>
        </w:rPr>
        <w:t xml:space="preserve">“what would be wrong were one to maintain that there is no Veda, no word spoken by the Lord, anywhere in the world?” (236). </w:t>
      </w:r>
      <w:r w:rsidR="00727206">
        <w:rPr>
          <w:color w:val="auto"/>
        </w:rPr>
        <w:t xml:space="preserve">A question like </w:t>
      </w:r>
      <w:r w:rsidR="00C95C82">
        <w:rPr>
          <w:color w:val="auto"/>
        </w:rPr>
        <w:t>this challenged</w:t>
      </w:r>
      <w:r w:rsidR="00727206">
        <w:rPr>
          <w:color w:val="auto"/>
        </w:rPr>
        <w:t xml:space="preserve"> de Nobili in a more indirect manner and </w:t>
      </w:r>
      <w:r w:rsidR="00C95C82">
        <w:rPr>
          <w:color w:val="auto"/>
        </w:rPr>
        <w:t>demonstrated</w:t>
      </w:r>
      <w:r w:rsidR="00727206">
        <w:rPr>
          <w:color w:val="auto"/>
        </w:rPr>
        <w:t xml:space="preserve"> the student’</w:t>
      </w:r>
      <w:r w:rsidR="00C95C82">
        <w:rPr>
          <w:color w:val="auto"/>
        </w:rPr>
        <w:t xml:space="preserve">s role in fueling their </w:t>
      </w:r>
      <w:r w:rsidR="00727206">
        <w:rPr>
          <w:color w:val="auto"/>
        </w:rPr>
        <w:t xml:space="preserve">inquiry. </w:t>
      </w:r>
      <w:r w:rsidR="001E38A4">
        <w:rPr>
          <w:color w:val="auto"/>
        </w:rPr>
        <w:t>However, the role of the student</w:t>
      </w:r>
      <w:r w:rsidR="00727206">
        <w:rPr>
          <w:color w:val="auto"/>
        </w:rPr>
        <w:t xml:space="preserve"> in the text</w:t>
      </w:r>
      <w:r w:rsidR="00C95C82">
        <w:rPr>
          <w:color w:val="auto"/>
        </w:rPr>
        <w:t xml:space="preserve"> wa</w:t>
      </w:r>
      <w:r w:rsidR="001E38A4">
        <w:rPr>
          <w:color w:val="auto"/>
        </w:rPr>
        <w:t>s not only as an intellectual foil</w:t>
      </w:r>
      <w:r w:rsidR="00C95C82">
        <w:rPr>
          <w:color w:val="auto"/>
        </w:rPr>
        <w:t xml:space="preserve"> or representative of competing schools of thought</w:t>
      </w:r>
      <w:r w:rsidR="001E38A4">
        <w:rPr>
          <w:color w:val="auto"/>
        </w:rPr>
        <w:t xml:space="preserve">. </w:t>
      </w:r>
    </w:p>
    <w:p w14:paraId="4CD245DD" w14:textId="1AA93E97" w:rsidR="0076788A" w:rsidRDefault="0082701B" w:rsidP="0076788A">
      <w:pPr>
        <w:spacing w:after="0" w:line="480" w:lineRule="auto"/>
        <w:ind w:firstLine="720"/>
        <w:rPr>
          <w:color w:val="auto"/>
        </w:rPr>
      </w:pPr>
      <w:r>
        <w:rPr>
          <w:color w:val="auto"/>
        </w:rPr>
        <w:t>T</w:t>
      </w:r>
      <w:r w:rsidR="001E38A4">
        <w:rPr>
          <w:color w:val="auto"/>
        </w:rPr>
        <w:t xml:space="preserve">he student </w:t>
      </w:r>
      <w:r w:rsidR="00C95C82">
        <w:rPr>
          <w:color w:val="auto"/>
        </w:rPr>
        <w:t>also provided</w:t>
      </w:r>
      <w:r w:rsidR="001E38A4">
        <w:rPr>
          <w:color w:val="auto"/>
        </w:rPr>
        <w:t xml:space="preserve"> a model for discipleship.</w:t>
      </w:r>
      <w:r w:rsidR="00C95C82">
        <w:rPr>
          <w:color w:val="auto"/>
        </w:rPr>
        <w:t xml:space="preserve"> </w:t>
      </w:r>
      <w:r w:rsidR="00B74A0D">
        <w:rPr>
          <w:color w:val="auto"/>
        </w:rPr>
        <w:t>The student’s first contribution to the text was an open statement of his desire</w:t>
      </w:r>
      <w:r w:rsidR="001E38A4">
        <w:rPr>
          <w:color w:val="auto"/>
        </w:rPr>
        <w:t xml:space="preserve"> </w:t>
      </w:r>
      <w:r w:rsidR="00B74A0D">
        <w:rPr>
          <w:color w:val="auto"/>
        </w:rPr>
        <w:t xml:space="preserve">for </w:t>
      </w:r>
      <w:r w:rsidR="001E38A4">
        <w:rPr>
          <w:color w:val="auto"/>
        </w:rPr>
        <w:t>this kind of “dialogue on wisdom” that can lead</w:t>
      </w:r>
      <w:r>
        <w:rPr>
          <w:color w:val="auto"/>
        </w:rPr>
        <w:t xml:space="preserve"> to liberation. Then, </w:t>
      </w:r>
      <w:r w:rsidR="0047672B">
        <w:rPr>
          <w:color w:val="auto"/>
        </w:rPr>
        <w:t>after listening to the teacher, he openly stated his doubts. He asked, “what you have explained in this way has become very clear to me. But still there is one more doubt, and this too must be cleared up by your gracious explanation, as the sun’s rays dispel the darkness” (238). This provided</w:t>
      </w:r>
      <w:r>
        <w:rPr>
          <w:color w:val="auto"/>
        </w:rPr>
        <w:t xml:space="preserve"> the teacher</w:t>
      </w:r>
      <w:r w:rsidR="0047672B">
        <w:rPr>
          <w:color w:val="auto"/>
        </w:rPr>
        <w:t xml:space="preserve"> with an opportunity to further explain himself and to clarify the role of doubt within dialogic inquiry</w:t>
      </w:r>
      <w:r w:rsidR="001E38A4">
        <w:rPr>
          <w:color w:val="auto"/>
        </w:rPr>
        <w:t xml:space="preserve">. The </w:t>
      </w:r>
      <w:r w:rsidR="0047672B">
        <w:rPr>
          <w:color w:val="auto"/>
        </w:rPr>
        <w:t>teacher responded</w:t>
      </w:r>
      <w:r w:rsidR="001E38A4">
        <w:rPr>
          <w:color w:val="auto"/>
        </w:rPr>
        <w:t xml:space="preserve"> by encouraging the student to “tell me all your doubts without hesitation … when a disciple hides his doubts from his teacher, </w:t>
      </w:r>
      <w:r w:rsidR="001E38A4">
        <w:rPr>
          <w:color w:val="auto"/>
        </w:rPr>
        <w:lastRenderedPageBreak/>
        <w:t>ignorance will increasingly cover the faculty of understanding in his soul. For ignorance is the cause of all that you call ‘doubts’”</w:t>
      </w:r>
      <w:r w:rsidR="0047672B">
        <w:rPr>
          <w:color w:val="auto"/>
        </w:rPr>
        <w:t xml:space="preserve"> (238). </w:t>
      </w:r>
      <w:r w:rsidR="00397733">
        <w:rPr>
          <w:color w:val="auto"/>
        </w:rPr>
        <w:t xml:space="preserve">The teacher’s statement clarified the student’s role in the dialogue as well as how a student should be seeking the truth as a disciple. </w:t>
      </w:r>
      <w:r w:rsidR="0047672B">
        <w:rPr>
          <w:color w:val="auto"/>
        </w:rPr>
        <w:t>In response, t</w:t>
      </w:r>
      <w:r w:rsidR="001E38A4">
        <w:rPr>
          <w:color w:val="auto"/>
        </w:rPr>
        <w:t xml:space="preserve">he student then </w:t>
      </w:r>
      <w:r w:rsidR="0047672B">
        <w:rPr>
          <w:color w:val="auto"/>
        </w:rPr>
        <w:t>moved</w:t>
      </w:r>
      <w:r w:rsidR="001E38A4">
        <w:rPr>
          <w:color w:val="auto"/>
        </w:rPr>
        <w:t xml:space="preserve"> on to ask wh</w:t>
      </w:r>
      <w:r w:rsidR="00397733">
        <w:rPr>
          <w:color w:val="auto"/>
        </w:rPr>
        <w:t>y the Veda wa</w:t>
      </w:r>
      <w:r w:rsidR="001E38A4">
        <w:rPr>
          <w:color w:val="auto"/>
        </w:rPr>
        <w:t>s necessary when humans already possess</w:t>
      </w:r>
      <w:r w:rsidR="00397733">
        <w:rPr>
          <w:color w:val="auto"/>
        </w:rPr>
        <w:t>ed</w:t>
      </w:r>
      <w:r w:rsidR="001E38A4">
        <w:rPr>
          <w:color w:val="auto"/>
        </w:rPr>
        <w:t xml:space="preserve"> the freedom to do go</w:t>
      </w:r>
      <w:r w:rsidR="0047672B">
        <w:rPr>
          <w:color w:val="auto"/>
        </w:rPr>
        <w:t>od and evil, which led</w:t>
      </w:r>
      <w:r w:rsidR="001E38A4">
        <w:rPr>
          <w:color w:val="auto"/>
        </w:rPr>
        <w:t xml:space="preserve"> into a discussion of the hierarchy of truths. </w:t>
      </w:r>
      <w:r w:rsidR="0047672B">
        <w:rPr>
          <w:color w:val="auto"/>
        </w:rPr>
        <w:t>This kind of modeling wa</w:t>
      </w:r>
      <w:r w:rsidR="001E38A4">
        <w:rPr>
          <w:color w:val="auto"/>
        </w:rPr>
        <w:t xml:space="preserve">s weaved into the teacher’s explanations, demonstrating the ways in which the </w:t>
      </w:r>
      <w:r w:rsidR="00397733">
        <w:rPr>
          <w:color w:val="auto"/>
        </w:rPr>
        <w:t>arguments of the text should</w:t>
      </w:r>
      <w:r w:rsidR="001E38A4">
        <w:rPr>
          <w:color w:val="auto"/>
        </w:rPr>
        <w:t xml:space="preserve"> be </w:t>
      </w:r>
      <w:r w:rsidR="00397733">
        <w:rPr>
          <w:color w:val="auto"/>
        </w:rPr>
        <w:t xml:space="preserve">contemplated and then </w:t>
      </w:r>
      <w:r w:rsidR="001E38A4">
        <w:rPr>
          <w:color w:val="auto"/>
        </w:rPr>
        <w:t xml:space="preserve">followed. </w:t>
      </w:r>
      <w:r w:rsidR="0076788A">
        <w:t xml:space="preserve"> </w:t>
      </w:r>
    </w:p>
    <w:p w14:paraId="004ABE00" w14:textId="3C11DA9E" w:rsidR="001E38A4" w:rsidRDefault="00EF4C9B" w:rsidP="001E38A4">
      <w:pPr>
        <w:spacing w:after="0" w:line="480" w:lineRule="auto"/>
        <w:ind w:firstLine="720"/>
        <w:rPr>
          <w:color w:val="auto"/>
        </w:rPr>
      </w:pPr>
      <w:r>
        <w:rPr>
          <w:color w:val="auto"/>
        </w:rPr>
        <w:t xml:space="preserve">Through the text’s dialogue, </w:t>
      </w:r>
      <w:r w:rsidR="001E38A4">
        <w:rPr>
          <w:color w:val="auto"/>
        </w:rPr>
        <w:t xml:space="preserve">the methods for arriving at truth </w:t>
      </w:r>
      <w:r>
        <w:rPr>
          <w:color w:val="auto"/>
        </w:rPr>
        <w:t>could be found alongside an outline of</w:t>
      </w:r>
      <w:r w:rsidR="001E38A4">
        <w:rPr>
          <w:color w:val="auto"/>
        </w:rPr>
        <w:t xml:space="preserve"> that truth. </w:t>
      </w:r>
      <w:r>
        <w:rPr>
          <w:color w:val="auto"/>
        </w:rPr>
        <w:t xml:space="preserve">The dialogue included within its structure directions for how to seek out the truth, for how to inquire. </w:t>
      </w:r>
      <w:r w:rsidR="001E38A4">
        <w:rPr>
          <w:color w:val="auto"/>
        </w:rPr>
        <w:t>For instance, when the stud</w:t>
      </w:r>
      <w:r>
        <w:rPr>
          <w:color w:val="auto"/>
        </w:rPr>
        <w:t>ent asked</w:t>
      </w:r>
      <w:r w:rsidR="001E38A4">
        <w:rPr>
          <w:color w:val="auto"/>
        </w:rPr>
        <w:t xml:space="preserve"> how one might be able to differentiate between all the various philosophies</w:t>
      </w:r>
      <w:r>
        <w:rPr>
          <w:color w:val="auto"/>
        </w:rPr>
        <w:t>, which ones were truth and which we</w:t>
      </w:r>
      <w:r w:rsidR="001E38A4">
        <w:rPr>
          <w:color w:val="auto"/>
        </w:rPr>
        <w:t>re not, the</w:t>
      </w:r>
      <w:r>
        <w:rPr>
          <w:color w:val="auto"/>
        </w:rPr>
        <w:t xml:space="preserve"> teacher responded</w:t>
      </w:r>
      <w:r w:rsidR="001E38A4">
        <w:rPr>
          <w:color w:val="auto"/>
        </w:rPr>
        <w:t xml:space="preserve"> by outlining exactly how one use</w:t>
      </w:r>
      <w:r>
        <w:rPr>
          <w:color w:val="auto"/>
        </w:rPr>
        <w:t>d</w:t>
      </w:r>
      <w:r w:rsidR="001E38A4">
        <w:rPr>
          <w:color w:val="auto"/>
        </w:rPr>
        <w:t xml:space="preserve"> reason to </w:t>
      </w:r>
      <w:r>
        <w:rPr>
          <w:color w:val="auto"/>
        </w:rPr>
        <w:t>judge the situation. He explained:</w:t>
      </w:r>
      <w:r w:rsidR="001E38A4">
        <w:rPr>
          <w:color w:val="auto"/>
        </w:rPr>
        <w:t xml:space="preserve"> </w:t>
      </w:r>
    </w:p>
    <w:p w14:paraId="4E67AF5C" w14:textId="4B05682A" w:rsidR="001E38A4" w:rsidRDefault="001E38A4" w:rsidP="001E38A4">
      <w:pPr>
        <w:spacing w:after="0" w:line="480" w:lineRule="auto"/>
        <w:ind w:left="1440"/>
        <w:rPr>
          <w:color w:val="auto"/>
        </w:rPr>
      </w:pPr>
      <w:r>
        <w:rPr>
          <w:color w:val="auto"/>
        </w:rPr>
        <w:t xml:space="preserve">There is a popular saying, ‘whatever exists is true, whatever does not exist is false’ I.e., if a word corresponds to an existing object, then it is said to be a true word, but if a word does not correspond to an existing object, it is said to be untrue. Therefore, if something is claimed to be existing and also not existing, both these claims cannot be true. If one examines the two statements – ‘the Lord exists,’ and ‘the Lord does not exist,’ both cannot be true. One must be false and the other true. As with these examples, you must </w:t>
      </w:r>
      <w:r w:rsidR="00EF4C9B">
        <w:rPr>
          <w:color w:val="auto"/>
        </w:rPr>
        <w:t>think similarly on other topics. (#)</w:t>
      </w:r>
    </w:p>
    <w:p w14:paraId="7ABF4073" w14:textId="5D23BAA9" w:rsidR="001E38A4" w:rsidRDefault="0016393B" w:rsidP="001E38A4">
      <w:pPr>
        <w:spacing w:after="0" w:line="480" w:lineRule="auto"/>
        <w:rPr>
          <w:color w:val="auto"/>
        </w:rPr>
      </w:pPr>
      <w:r>
        <w:rPr>
          <w:color w:val="auto"/>
        </w:rPr>
        <w:t xml:space="preserve">De </w:t>
      </w:r>
      <w:r w:rsidR="000434D0">
        <w:rPr>
          <w:color w:val="auto"/>
        </w:rPr>
        <w:t>Nobili took</w:t>
      </w:r>
      <w:r>
        <w:rPr>
          <w:color w:val="auto"/>
        </w:rPr>
        <w:t xml:space="preserve"> this opportunity to come up with a gen</w:t>
      </w:r>
      <w:r w:rsidR="000434D0">
        <w:rPr>
          <w:color w:val="auto"/>
        </w:rPr>
        <w:t xml:space="preserve">eral approach that his disciple could adopt in almost any situation. </w:t>
      </w:r>
      <w:r>
        <w:rPr>
          <w:color w:val="auto"/>
        </w:rPr>
        <w:t>The dialogue became</w:t>
      </w:r>
      <w:r w:rsidR="001E38A4">
        <w:rPr>
          <w:color w:val="auto"/>
        </w:rPr>
        <w:t xml:space="preserve"> a way to teach reasoning and even</w:t>
      </w:r>
      <w:r w:rsidR="000434D0">
        <w:rPr>
          <w:color w:val="auto"/>
        </w:rPr>
        <w:t>,</w:t>
      </w:r>
      <w:r w:rsidR="001E38A4">
        <w:rPr>
          <w:color w:val="auto"/>
        </w:rPr>
        <w:t xml:space="preserve"> </w:t>
      </w:r>
      <w:r w:rsidR="000434D0">
        <w:rPr>
          <w:color w:val="auto"/>
        </w:rPr>
        <w:t xml:space="preserve">how to </w:t>
      </w:r>
      <w:r w:rsidR="001E38A4">
        <w:rPr>
          <w:color w:val="auto"/>
        </w:rPr>
        <w:t xml:space="preserve">dialogue. </w:t>
      </w:r>
      <w:r w:rsidR="000434D0">
        <w:rPr>
          <w:color w:val="auto"/>
        </w:rPr>
        <w:t>T</w:t>
      </w:r>
      <w:r w:rsidR="001E38A4">
        <w:rPr>
          <w:color w:val="auto"/>
        </w:rPr>
        <w:t xml:space="preserve">his kind of modeling </w:t>
      </w:r>
      <w:r w:rsidR="000434D0">
        <w:rPr>
          <w:color w:val="auto"/>
        </w:rPr>
        <w:t>also demonstrated</w:t>
      </w:r>
      <w:r w:rsidR="001E38A4">
        <w:rPr>
          <w:color w:val="auto"/>
        </w:rPr>
        <w:t xml:space="preserve"> real methods of devotion</w:t>
      </w:r>
      <w:r w:rsidR="000434D0">
        <w:rPr>
          <w:color w:val="auto"/>
        </w:rPr>
        <w:t xml:space="preserve"> by outlining</w:t>
      </w:r>
      <w:r w:rsidR="001E38A4">
        <w:rPr>
          <w:color w:val="auto"/>
        </w:rPr>
        <w:t xml:space="preserve"> t</w:t>
      </w:r>
      <w:r w:rsidR="000434D0">
        <w:rPr>
          <w:color w:val="auto"/>
        </w:rPr>
        <w:t xml:space="preserve">he </w:t>
      </w:r>
      <w:r w:rsidR="000434D0">
        <w:rPr>
          <w:color w:val="auto"/>
        </w:rPr>
        <w:lastRenderedPageBreak/>
        <w:t>shape</w:t>
      </w:r>
      <w:r w:rsidR="001E38A4">
        <w:rPr>
          <w:color w:val="auto"/>
        </w:rPr>
        <w:t xml:space="preserve"> of discipleship.  </w:t>
      </w:r>
      <w:r w:rsidR="000434D0">
        <w:rPr>
          <w:color w:val="auto"/>
        </w:rPr>
        <w:t xml:space="preserve">Importantly, de Nobili’s section on truth ends with a call </w:t>
      </w:r>
      <w:r w:rsidR="001E38A4">
        <w:rPr>
          <w:color w:val="auto"/>
        </w:rPr>
        <w:t xml:space="preserve">for meditation. The teacher </w:t>
      </w:r>
      <w:r w:rsidR="000434D0">
        <w:rPr>
          <w:color w:val="auto"/>
        </w:rPr>
        <w:t>concluded by instructing his student to pray</w:t>
      </w:r>
      <w:r w:rsidR="001E38A4">
        <w:rPr>
          <w:color w:val="auto"/>
        </w:rPr>
        <w:t xml:space="preserve">: </w:t>
      </w:r>
    </w:p>
    <w:p w14:paraId="161876D0" w14:textId="5C6B30B3" w:rsidR="001E38A4" w:rsidRDefault="001E38A4" w:rsidP="001E38A4">
      <w:pPr>
        <w:spacing w:after="0" w:line="480" w:lineRule="auto"/>
        <w:ind w:left="1440"/>
        <w:rPr>
          <w:color w:val="auto"/>
        </w:rPr>
      </w:pPr>
      <w:r>
        <w:rPr>
          <w:color w:val="auto"/>
        </w:rPr>
        <w:t>It is already evening, the time for your prayer. Your blessed ambrosial words have become the only food I need. I will meditate on what you have explained until now, and these undying words will be food for my mind, which will become enlightened by digesting them, so I will be strengthened in knowledge. But tomorrow we must continue this Dialogue, and you must teach me</w:t>
      </w:r>
      <w:r w:rsidR="00583B03">
        <w:rPr>
          <w:color w:val="auto"/>
        </w:rPr>
        <w:t xml:space="preserve"> whatever remains to be taught.</w:t>
      </w:r>
      <w:r>
        <w:rPr>
          <w:color w:val="auto"/>
        </w:rPr>
        <w:t xml:space="preserve"> (241)</w:t>
      </w:r>
    </w:p>
    <w:p w14:paraId="4392C6EE" w14:textId="00A356CE" w:rsidR="001E38A4" w:rsidRDefault="000434D0" w:rsidP="001E38A4">
      <w:pPr>
        <w:spacing w:after="0" w:line="480" w:lineRule="auto"/>
        <w:rPr>
          <w:color w:val="auto"/>
        </w:rPr>
      </w:pPr>
      <w:r>
        <w:rPr>
          <w:color w:val="auto"/>
        </w:rPr>
        <w:t>T</w:t>
      </w:r>
      <w:r w:rsidR="001E38A4">
        <w:rPr>
          <w:color w:val="auto"/>
        </w:rPr>
        <w:t xml:space="preserve">he </w:t>
      </w:r>
      <w:r>
        <w:rPr>
          <w:color w:val="auto"/>
        </w:rPr>
        <w:t>structure of the dialogue was not only important for what it said but also for what it did. De Nobili used</w:t>
      </w:r>
      <w:r w:rsidR="001E38A4">
        <w:rPr>
          <w:color w:val="auto"/>
        </w:rPr>
        <w:t xml:space="preserve"> the form of dialogue as a way to arrive at truth </w:t>
      </w:r>
      <w:r>
        <w:rPr>
          <w:color w:val="auto"/>
        </w:rPr>
        <w:t>and</w:t>
      </w:r>
      <w:r w:rsidR="001E38A4">
        <w:rPr>
          <w:color w:val="auto"/>
        </w:rPr>
        <w:t xml:space="preserve"> teach others how they might </w:t>
      </w:r>
      <w:r>
        <w:rPr>
          <w:color w:val="auto"/>
        </w:rPr>
        <w:t xml:space="preserve">also </w:t>
      </w:r>
      <w:r w:rsidR="001E38A4">
        <w:rPr>
          <w:color w:val="auto"/>
        </w:rPr>
        <w:t>find truth,</w:t>
      </w:r>
      <w:r>
        <w:rPr>
          <w:color w:val="auto"/>
        </w:rPr>
        <w:t xml:space="preserve"> both</w:t>
      </w:r>
      <w:r w:rsidR="001E38A4">
        <w:rPr>
          <w:color w:val="auto"/>
        </w:rPr>
        <w:t xml:space="preserve"> practically in the way that they ask</w:t>
      </w:r>
      <w:r>
        <w:rPr>
          <w:color w:val="auto"/>
        </w:rPr>
        <w:t>ed questions and sought</w:t>
      </w:r>
      <w:r w:rsidR="001E38A4">
        <w:rPr>
          <w:color w:val="auto"/>
        </w:rPr>
        <w:t xml:space="preserve"> answers </w:t>
      </w:r>
      <w:r>
        <w:rPr>
          <w:color w:val="auto"/>
        </w:rPr>
        <w:t xml:space="preserve">and in what they did </w:t>
      </w:r>
      <w:r w:rsidR="001E38A4">
        <w:rPr>
          <w:color w:val="auto"/>
        </w:rPr>
        <w:t xml:space="preserve">with </w:t>
      </w:r>
      <w:r>
        <w:rPr>
          <w:color w:val="auto"/>
        </w:rPr>
        <w:t>the dialogue—i</w:t>
      </w:r>
      <w:r w:rsidR="001E38A4">
        <w:rPr>
          <w:color w:val="auto"/>
        </w:rPr>
        <w:t xml:space="preserve">n the ways </w:t>
      </w:r>
      <w:r>
        <w:rPr>
          <w:color w:val="auto"/>
        </w:rPr>
        <w:t xml:space="preserve">that </w:t>
      </w:r>
      <w:r w:rsidR="001E38A4">
        <w:rPr>
          <w:color w:val="auto"/>
        </w:rPr>
        <w:t>they respond</w:t>
      </w:r>
      <w:r>
        <w:rPr>
          <w:color w:val="auto"/>
        </w:rPr>
        <w:t>ed</w:t>
      </w:r>
      <w:r w:rsidR="001E38A4">
        <w:rPr>
          <w:color w:val="auto"/>
        </w:rPr>
        <w:t xml:space="preserve"> and enact</w:t>
      </w:r>
      <w:r>
        <w:rPr>
          <w:color w:val="auto"/>
        </w:rPr>
        <w:t>ed what the dialogue taught</w:t>
      </w:r>
      <w:r w:rsidR="001E38A4">
        <w:rPr>
          <w:color w:val="auto"/>
        </w:rPr>
        <w:t>.</w:t>
      </w:r>
    </w:p>
    <w:p w14:paraId="52B22E8A" w14:textId="3590FA9E" w:rsidR="00727206" w:rsidRDefault="000434D0" w:rsidP="00727206">
      <w:pPr>
        <w:spacing w:after="0" w:line="480" w:lineRule="auto"/>
        <w:ind w:firstLine="720"/>
      </w:pPr>
      <w:r>
        <w:t>With this dialogue, De Nobili called</w:t>
      </w:r>
      <w:r w:rsidR="00727206">
        <w:t xml:space="preserve"> his disci</w:t>
      </w:r>
      <w:r>
        <w:t>ple out of themselves. He began</w:t>
      </w:r>
      <w:r w:rsidR="00727206">
        <w:t xml:space="preserve"> this process </w:t>
      </w:r>
      <w:r>
        <w:t>through</w:t>
      </w:r>
      <w:r w:rsidR="00727206">
        <w:t xml:space="preserve"> the form of the dialogue </w:t>
      </w:r>
      <w:r>
        <w:t xml:space="preserve">and completed it with the dialogue’s </w:t>
      </w:r>
      <w:r w:rsidR="00727206">
        <w:t xml:space="preserve">final </w:t>
      </w:r>
      <w:r w:rsidR="00392C4A">
        <w:t>focus</w:t>
      </w:r>
      <w:r>
        <w:t xml:space="preserve"> on Christian action. </w:t>
      </w:r>
      <w:r w:rsidR="00F27995">
        <w:t xml:space="preserve">As an immanent presence within the world, God had been revealed and could be known via verbal testimony, according to de Nobili, but God required that faith move believers beyond a mere knowledge of God’s transcendent Truth. Christians were asked to </w:t>
      </w:r>
      <w:r w:rsidR="00C33F6B">
        <w:t>share in and reproduce the immanence of this transcendence.</w:t>
      </w:r>
      <w:r w:rsidR="00F27995">
        <w:t xml:space="preserve"> </w:t>
      </w:r>
      <w:r>
        <w:t>His dialogue emphasized</w:t>
      </w:r>
      <w:r w:rsidR="00727206">
        <w:t>, “The human being must reach his finality, namely liberation, by accepting these truths in faith and living ac</w:t>
      </w:r>
      <w:r w:rsidR="00F27995">
        <w:t xml:space="preserve">cording to them” (239). </w:t>
      </w:r>
      <w:r w:rsidR="00727206">
        <w:t>This move wi</w:t>
      </w:r>
      <w:r w:rsidR="00C33F6B">
        <w:t>thin the dialogue engaged</w:t>
      </w:r>
      <w:r w:rsidR="00727206">
        <w:t xml:space="preserve"> with the </w:t>
      </w:r>
      <w:r w:rsidR="00C33F6B">
        <w:t xml:space="preserve">dialogue’s </w:t>
      </w:r>
      <w:r w:rsidR="00727206">
        <w:t xml:space="preserve">form as a </w:t>
      </w:r>
      <w:r w:rsidR="00C33F6B">
        <w:t>propaedeutic</w:t>
      </w:r>
      <w:r w:rsidR="00727206">
        <w:t xml:space="preserve"> o</w:t>
      </w:r>
      <w:r w:rsidR="00C33F6B">
        <w:t>f Christian formation. More importantly, it pushed</w:t>
      </w:r>
      <w:r w:rsidR="00727206">
        <w:t xml:space="preserve"> readers towards furthe</w:t>
      </w:r>
      <w:r w:rsidR="00C33F6B">
        <w:t>r understanding how the text could</w:t>
      </w:r>
      <w:r w:rsidR="00727206">
        <w:t xml:space="preserve"> lead towards spiritual liberation</w:t>
      </w:r>
      <w:r w:rsidR="00A00C64">
        <w:t>. He directly instructed</w:t>
      </w:r>
      <w:r w:rsidR="00727206">
        <w:t xml:space="preserve"> them to meditate on his words, </w:t>
      </w:r>
      <w:r w:rsidR="00727206">
        <w:lastRenderedPageBreak/>
        <w:t>ackn</w:t>
      </w:r>
      <w:r w:rsidR="00A00C64">
        <w:t>owledging that comprehension could not come at once—that it depended</w:t>
      </w:r>
      <w:r w:rsidR="00727206">
        <w:t xml:space="preserve"> on more. In </w:t>
      </w:r>
      <w:r w:rsidR="00A00C64">
        <w:t>this instance, he directly drew attention to the fact that it wa</w:t>
      </w:r>
      <w:r w:rsidR="00727206">
        <w:t>s action, not just words, that move</w:t>
      </w:r>
      <w:r w:rsidR="00A00C64">
        <w:t>d</w:t>
      </w:r>
      <w:r w:rsidR="00727206">
        <w:t xml:space="preserve"> one towards enlightenment. </w:t>
      </w:r>
      <w:r w:rsidR="0088687F">
        <w:t xml:space="preserve">The content of the dialogue was important to the extent that it brought one to an understanding of the Truth of God, a truth that was not reducible to any one element in the text but rather found articulation within the lives of believers. </w:t>
      </w:r>
      <w:r w:rsidR="00A00C64">
        <w:t>Each person could</w:t>
      </w:r>
      <w:r w:rsidR="00727206">
        <w:t xml:space="preserve"> become a light of truth, De Nobili</w:t>
      </w:r>
      <w:r w:rsidR="00A00C64">
        <w:t xml:space="preserve"> wrote</w:t>
      </w:r>
      <w:r w:rsidR="00727206">
        <w:t>, reproducing the truth of God in their very lives: “when one accepts the truth that the Lord exists, this becomes a great shining light to all people</w:t>
      </w:r>
      <w:r w:rsidR="00A7432D">
        <w:t>” (270)</w:t>
      </w:r>
      <w:r w:rsidR="00727206">
        <w:t xml:space="preserve">. </w:t>
      </w:r>
      <w:r w:rsidR="00A7432D">
        <w:t xml:space="preserve">This ability to reproduce the truth of God exceeded the human ability to know God. De Nobili elaborated, “Even if a person is not interested in seeing this truth, one can say that this truth enlightens his mind, so that even without his knowing it he </w:t>
      </w:r>
      <w:proofErr w:type="spellStart"/>
      <w:r w:rsidR="00A7432D">
        <w:t>assents</w:t>
      </w:r>
      <w:proofErr w:type="spellEnd"/>
      <w:r w:rsidR="00A7432D">
        <w:t>, ‘This is true!’” (270). According to</w:t>
      </w:r>
      <w:r w:rsidR="00A00C64">
        <w:t xml:space="preserve"> de Nobili’s definition of knowledge, </w:t>
      </w:r>
      <w:r w:rsidR="00A7432D">
        <w:t>Christian Truth</w:t>
      </w:r>
      <w:r w:rsidR="00A00C64">
        <w:t xml:space="preserve"> surpassed the human mind</w:t>
      </w:r>
      <w:r w:rsidR="00A7432D">
        <w:t>; true knowledge came only from God, and this kind of transcendent Truth could not be contained within the human mind</w:t>
      </w:r>
      <w:r w:rsidR="00727206">
        <w:t>.</w:t>
      </w:r>
      <w:r w:rsidR="00B72520">
        <w:rPr>
          <w:vertAlign w:val="superscript"/>
        </w:rPr>
        <w:endnoteReference w:id="7"/>
      </w:r>
      <w:r w:rsidR="00B72520">
        <w:t xml:space="preserve"> </w:t>
      </w:r>
      <w:r w:rsidR="00727206">
        <w:t xml:space="preserve">Herein, </w:t>
      </w:r>
      <w:r w:rsidR="008D32A1">
        <w:t>d</w:t>
      </w:r>
      <w:r w:rsidR="00727206">
        <w:t xml:space="preserve">e Nobili </w:t>
      </w:r>
      <w:r w:rsidR="009B1B2E">
        <w:t>was</w:t>
      </w:r>
      <w:r w:rsidR="008D32A1">
        <w:t xml:space="preserve"> able to move beyond any one </w:t>
      </w:r>
      <w:r w:rsidR="00727206">
        <w:t>mistake</w:t>
      </w:r>
      <w:r w:rsidR="008D32A1">
        <w:t xml:space="preserve"> found within the text</w:t>
      </w:r>
      <w:r w:rsidR="00727206">
        <w:t xml:space="preserve">. </w:t>
      </w:r>
      <w:r w:rsidR="009B1B2E">
        <w:t>The text was</w:t>
      </w:r>
      <w:r w:rsidR="00727206">
        <w:t xml:space="preserve"> not meant to be read as Truth but</w:t>
      </w:r>
      <w:r w:rsidR="009B1B2E">
        <w:t xml:space="preserve"> instead was meant to lead its </w:t>
      </w:r>
      <w:r w:rsidR="00727206">
        <w:t>participant</w:t>
      </w:r>
      <w:r w:rsidR="009B1B2E">
        <w:t>s</w:t>
      </w:r>
      <w:r w:rsidR="00727206">
        <w:t xml:space="preserve"> towards participation in the Truth. De Nobili</w:t>
      </w:r>
      <w:r w:rsidR="009B1B2E">
        <w:t>’s dialogue was</w:t>
      </w:r>
      <w:r w:rsidR="00727206">
        <w:t xml:space="preserve"> structured to qualify his </w:t>
      </w:r>
      <w:r w:rsidR="009B1B2E">
        <w:t>own authority and instead invited</w:t>
      </w:r>
      <w:r w:rsidR="00727206">
        <w:t xml:space="preserve"> his reader</w:t>
      </w:r>
      <w:r w:rsidR="009B1B2E">
        <w:t>s</w:t>
      </w:r>
      <w:r w:rsidR="00727206">
        <w:t xml:space="preserve"> into </w:t>
      </w:r>
      <w:r w:rsidR="009B1B2E">
        <w:t>participating in the Truth</w:t>
      </w:r>
      <w:r w:rsidR="00727206">
        <w:t xml:space="preserve">. </w:t>
      </w:r>
    </w:p>
    <w:p w14:paraId="18B040BF" w14:textId="0348E7A6" w:rsidR="00727206" w:rsidRDefault="00727206" w:rsidP="00727206">
      <w:pPr>
        <w:spacing w:after="0" w:line="480" w:lineRule="auto"/>
        <w:ind w:firstLine="720"/>
      </w:pPr>
      <w:r w:rsidRPr="009B1B2E">
        <w:t>T</w:t>
      </w:r>
      <w:r w:rsidR="009215B3">
        <w:t>he rhetoric</w:t>
      </w:r>
      <w:r w:rsidR="009B1B2E" w:rsidRPr="009B1B2E">
        <w:t xml:space="preserve"> of de Nobili’s</w:t>
      </w:r>
      <w:r w:rsidRPr="009B1B2E">
        <w:t xml:space="preserve"> </w:t>
      </w:r>
      <w:r w:rsidR="009215B3">
        <w:t>dialogue undercut its</w:t>
      </w:r>
      <w:r w:rsidRPr="009B1B2E">
        <w:t xml:space="preserve"> dogmatic </w:t>
      </w:r>
      <w:r w:rsidR="009215B3">
        <w:t>discipline</w:t>
      </w:r>
      <w:r w:rsidRPr="009B1B2E">
        <w:t>, allowing de Nobili to not only engage with the Indian tradition of discourse in form but also in meaning—within its ends.</w:t>
      </w:r>
      <w:r>
        <w:rPr>
          <w:b/>
        </w:rPr>
        <w:t xml:space="preserve"> </w:t>
      </w:r>
      <w:r w:rsidR="009215B3" w:rsidRPr="009215B3">
        <w:t>De Nobili leaves his dialogue open at the end, a move we se</w:t>
      </w:r>
      <w:r w:rsidR="00066AE0">
        <w:t xml:space="preserve">e at work in Platonic dialogues. </w:t>
      </w:r>
      <w:r w:rsidR="0073698D">
        <w:t>Plato’s</w:t>
      </w:r>
      <w:r w:rsidR="009215B3">
        <w:t xml:space="preserve"> dialogues </w:t>
      </w:r>
      <w:r w:rsidR="00D96DA4">
        <w:t>offer a philosophical journey without conclusive endings.</w:t>
      </w:r>
      <w:r w:rsidR="00F65377">
        <w:t xml:space="preserve"> D</w:t>
      </w:r>
      <w:r w:rsidR="00941DE5">
        <w:t xml:space="preserve">ialogues like the </w:t>
      </w:r>
      <w:r w:rsidR="00941DE5" w:rsidRPr="009872E2">
        <w:rPr>
          <w:i/>
        </w:rPr>
        <w:t>Laches</w:t>
      </w:r>
      <w:r w:rsidR="00941DE5">
        <w:t xml:space="preserve">, the </w:t>
      </w:r>
      <w:proofErr w:type="spellStart"/>
      <w:r w:rsidR="00941DE5" w:rsidRPr="00941DE5">
        <w:rPr>
          <w:i/>
        </w:rPr>
        <w:t>Charmides</w:t>
      </w:r>
      <w:proofErr w:type="spellEnd"/>
      <w:r w:rsidR="00941DE5">
        <w:t xml:space="preserve">, and the </w:t>
      </w:r>
      <w:r w:rsidR="00941DE5">
        <w:rPr>
          <w:i/>
        </w:rPr>
        <w:t>Euthyphro</w:t>
      </w:r>
      <w:r w:rsidR="0004530B">
        <w:rPr>
          <w:i/>
        </w:rPr>
        <w:t xml:space="preserve"> </w:t>
      </w:r>
      <w:r w:rsidR="00945FE1">
        <w:t xml:space="preserve">subtly set the stage for later doctrines found in the </w:t>
      </w:r>
      <w:r w:rsidR="00945FE1">
        <w:rPr>
          <w:i/>
        </w:rPr>
        <w:t xml:space="preserve">Republic </w:t>
      </w:r>
      <w:r w:rsidR="00945FE1">
        <w:t xml:space="preserve">and </w:t>
      </w:r>
      <w:r w:rsidR="00945FE1">
        <w:rPr>
          <w:i/>
        </w:rPr>
        <w:t>Symposium</w:t>
      </w:r>
      <w:r w:rsidR="0004530B">
        <w:rPr>
          <w:i/>
        </w:rPr>
        <w:t xml:space="preserve"> </w:t>
      </w:r>
      <w:r w:rsidR="0004530B">
        <w:t xml:space="preserve">but do </w:t>
      </w:r>
      <w:r w:rsidR="00937098">
        <w:t xml:space="preserve">not offer a thesis of their own, rather they are structured to only destroy the thesis </w:t>
      </w:r>
      <w:r w:rsidR="009872E2">
        <w:t>of their opponent’s</w:t>
      </w:r>
      <w:r w:rsidR="00A35F89">
        <w:t xml:space="preserve"> </w:t>
      </w:r>
      <w:r w:rsidR="00FC6FC8">
        <w:t>(Kahn 95-100).</w:t>
      </w:r>
      <w:r w:rsidR="009215B3">
        <w:t xml:space="preserve"> Depending on the purpose of the text, </w:t>
      </w:r>
      <w:r w:rsidR="009215B3">
        <w:lastRenderedPageBreak/>
        <w:t xml:space="preserve">dialogues within the Indian tradition provide a clear closure at the end or leave room for open interpretation. Dialogues left open </w:t>
      </w:r>
      <w:r w:rsidR="000F7465">
        <w:t>can suggest skepticism</w:t>
      </w:r>
      <w:r w:rsidR="007639A5">
        <w:t>, but f</w:t>
      </w:r>
      <w:r w:rsidR="009215B3">
        <w:t>or de Nobili</w:t>
      </w:r>
      <w:r w:rsidR="00583B03">
        <w:t>,</w:t>
      </w:r>
      <w:r w:rsidR="009215B3">
        <w:t xml:space="preserve"> this move toward</w:t>
      </w:r>
      <w:r w:rsidR="005E7645">
        <w:t>s openness was a way to lead readers into action.</w:t>
      </w:r>
      <w:r w:rsidR="009215B3">
        <w:rPr>
          <w:b/>
        </w:rPr>
        <w:t xml:space="preserve"> </w:t>
      </w:r>
      <w:r w:rsidR="005E7645">
        <w:t>He argued, i</w:t>
      </w:r>
      <w:r w:rsidR="009215B3">
        <w:t>t wa</w:t>
      </w:r>
      <w:r>
        <w:t>s onl</w:t>
      </w:r>
      <w:r w:rsidR="005E7645">
        <w:t>y in this move beyond knowledge that one came</w:t>
      </w:r>
      <w:r>
        <w:t xml:space="preserve"> to truly</w:t>
      </w:r>
      <w:r>
        <w:rPr>
          <w:i/>
        </w:rPr>
        <w:t xml:space="preserve"> know</w:t>
      </w:r>
      <w:r>
        <w:t xml:space="preserve"> God. De Nobili</w:t>
      </w:r>
      <w:r w:rsidR="009215B3">
        <w:t xml:space="preserve"> wrote</w:t>
      </w:r>
      <w:r>
        <w:t xml:space="preserve">, “There is a Veda in the world, willed by the Lord, and through the means of this verbal testimony, people endowed with reason should be able to live, knowing that truth which is not present to the mind and which surpasses the power of the mind.” (255). </w:t>
      </w:r>
      <w:r w:rsidR="005E7645">
        <w:t xml:space="preserve">In this final dialogic move, </w:t>
      </w:r>
      <w:r>
        <w:t>De Nobili</w:t>
      </w:r>
      <w:r w:rsidR="009215B3">
        <w:t xml:space="preserve"> demonstrated </w:t>
      </w:r>
      <w:r w:rsidR="005E7645">
        <w:t>that the truth of his text could only be known once it was enacted. K</w:t>
      </w:r>
      <w:r w:rsidR="009215B3">
        <w:t>nowledge</w:t>
      </w:r>
      <w:r w:rsidR="005E7645">
        <w:t>, according to his definition,</w:t>
      </w:r>
      <w:r w:rsidR="009215B3">
        <w:t xml:space="preserve"> wa</w:t>
      </w:r>
      <w:r>
        <w:t>s called beyond itself to be enacted as Truth. De Nobili</w:t>
      </w:r>
      <w:r w:rsidR="009215B3">
        <w:t>’s dialogue wa</w:t>
      </w:r>
      <w:r>
        <w:t>s preserved not as a text to be consumed only by the mind but instead as a text to be reproduced also</w:t>
      </w:r>
      <w:r w:rsidR="005E7645">
        <w:t xml:space="preserve"> by the body. </w:t>
      </w:r>
      <w:r>
        <w:t>De Nobili</w:t>
      </w:r>
      <w:r w:rsidR="005E7645">
        <w:t xml:space="preserve"> further argued</w:t>
      </w:r>
      <w:r>
        <w:t>, “if one knows the Lord’s Veda but does not act accordingly, he will not reach liberation” (235). De Nobili</w:t>
      </w:r>
      <w:r w:rsidR="005E7645">
        <w:t xml:space="preserve"> invited</w:t>
      </w:r>
      <w:r>
        <w:t xml:space="preserve"> writers to participate in this Reality with him</w:t>
      </w:r>
      <w:r w:rsidR="005E7645">
        <w:t>. The dialogue required a student to ask questions, clarify their doubts in conversation, and finally, to live the shared truths of this inquiry. De Nobili acknowledged the student’s</w:t>
      </w:r>
      <w:r>
        <w:t xml:space="preserve"> equally important role within the production of knowledge with a caveat: The only way to k</w:t>
      </w:r>
      <w:r w:rsidR="005E7645">
        <w:t>now is to act. This caveat worked</w:t>
      </w:r>
      <w:r>
        <w:t xml:space="preserve"> to engage readers</w:t>
      </w:r>
      <w:r w:rsidR="005E7645">
        <w:t xml:space="preserve"> and</w:t>
      </w:r>
      <w:r>
        <w:t xml:space="preserve"> qualify the veracity of his words through their actions. </w:t>
      </w:r>
      <w:r w:rsidR="005E7645">
        <w:t>This ending necessarily qualified</w:t>
      </w:r>
      <w:r>
        <w:t xml:space="preserve"> the text</w:t>
      </w:r>
      <w:r w:rsidR="005E7645">
        <w:t>. It defined the dialogue itself</w:t>
      </w:r>
      <w:r>
        <w:t xml:space="preserve"> as a partially available truth, one that must be understood within its</w:t>
      </w:r>
      <w:r w:rsidR="005E7645">
        <w:t xml:space="preserve"> enactment rather than through the</w:t>
      </w:r>
      <w:r>
        <w:t xml:space="preserve"> simple act of reading.</w:t>
      </w:r>
      <w:r w:rsidR="005E7645">
        <w:t xml:space="preserve"> In making his case, de </w:t>
      </w:r>
      <w:r>
        <w:t>Nobili</w:t>
      </w:r>
      <w:r w:rsidR="005E7645">
        <w:t xml:space="preserve"> wa</w:t>
      </w:r>
      <w:r>
        <w:t xml:space="preserve">s able to explain the </w:t>
      </w:r>
      <w:r w:rsidR="005E7645">
        <w:t>way in which his own arguments we</w:t>
      </w:r>
      <w:r>
        <w:t>re necessary but not definitive. This total transformat</w:t>
      </w:r>
      <w:r w:rsidR="005E7645">
        <w:t>ion of the person, liberation, wa</w:t>
      </w:r>
      <w:r>
        <w:t>s achieved thro</w:t>
      </w:r>
      <w:r w:rsidR="005E7645">
        <w:t>ugh knowledge, like that which was presented in the dialogue,</w:t>
      </w:r>
      <w:r>
        <w:t xml:space="preserve"> but inherently transcend</w:t>
      </w:r>
      <w:r w:rsidR="005E7645">
        <w:t>ed</w:t>
      </w:r>
      <w:r>
        <w:t xml:space="preserve"> knowledge as such.</w:t>
      </w:r>
    </w:p>
    <w:p w14:paraId="34FE63B5" w14:textId="30780B69" w:rsidR="00BB4BC3" w:rsidRPr="00377062" w:rsidRDefault="00377062" w:rsidP="00F6591A">
      <w:pPr>
        <w:spacing w:after="0" w:line="480" w:lineRule="auto"/>
        <w:ind w:firstLine="720"/>
      </w:pPr>
      <w:r w:rsidRPr="00377062">
        <w:lastRenderedPageBreak/>
        <w:t xml:space="preserve">De Nobili’s dialogues were based in his interactions with the intellectual Brahmin community of Madurai. </w:t>
      </w:r>
      <w:r>
        <w:t>His caref</w:t>
      </w:r>
      <w:r w:rsidR="00F6591A">
        <w:t xml:space="preserve">ul explanation of intention can also be found in a letter he sent to </w:t>
      </w:r>
      <w:proofErr w:type="spellStart"/>
      <w:r w:rsidR="00F6591A">
        <w:t>Laerzio</w:t>
      </w:r>
      <w:proofErr w:type="spellEnd"/>
      <w:r w:rsidR="00F6591A">
        <w:t xml:space="preserve"> in 1609 reporting on two Brahmins who came to question him and then eventually attacked him in front of an assembly</w:t>
      </w:r>
      <w:r>
        <w:t>.</w:t>
      </w:r>
      <w:r w:rsidR="00F6591A">
        <w:t xml:space="preserve"> In his original meeting with them, de Nobili wrote that he explained to them the difference between good works and sin, “sin consisted in turning away from God to embrace a bad and forbidden object,” he said, supporting his definition with Sanskrit texts. But, these Brahmins reported that de Nobili said “the laws of the Brahmins were a tissue of lies” and “giving alms to them brings no merit” and “bathing in the sea at </w:t>
      </w:r>
      <w:proofErr w:type="spellStart"/>
      <w:r w:rsidR="00F6591A">
        <w:t>Rameswaram</w:t>
      </w:r>
      <w:proofErr w:type="spellEnd"/>
      <w:r w:rsidR="00F6591A">
        <w:t xml:space="preserve"> or in the Ganges, is of no avail for salvation.” </w:t>
      </w:r>
      <w:proofErr w:type="spellStart"/>
      <w:r w:rsidR="00F6591A">
        <w:t>Sivadharma</w:t>
      </w:r>
      <w:proofErr w:type="spellEnd"/>
      <w:r w:rsidR="00F6591A">
        <w:t xml:space="preserve">, de Nobili’s disciple, came to his defense and explained, “there were two manners of life, one which consisted only in ceremonies, baths, </w:t>
      </w:r>
      <w:proofErr w:type="spellStart"/>
      <w:r w:rsidR="00F6591A">
        <w:t>anointings</w:t>
      </w:r>
      <w:proofErr w:type="spellEnd"/>
      <w:r w:rsidR="00F6591A">
        <w:t>, pilgrimages and such like things; and this mode of life he declared to be of no avail for salvation, the other consisted in knowing, loving, and serving God, and this, he said is the only way to attain glory.” Therefore, “</w:t>
      </w:r>
      <w:r w:rsidR="00F6591A" w:rsidRPr="00F6591A">
        <w:t>The plaintiff’s allegation that people bathing in the Ganges, even without a knowledge of God, can thereby obtain salvation, is most erroneous; i</w:t>
      </w:r>
      <w:r w:rsidR="00F6591A">
        <w:t>t is a law of his own invention</w:t>
      </w:r>
      <w:r w:rsidR="00F6591A" w:rsidRPr="00F6591A">
        <w:t>.</w:t>
      </w:r>
      <w:r w:rsidR="00F6591A">
        <w:t xml:space="preserve">” It is in these kinds of descriptions that </w:t>
      </w:r>
      <w:r w:rsidR="00FA7E8E">
        <w:t xml:space="preserve">de Nobili provides a glimpse into his intellectual milieu. And, the development of his arguments for Christianity become clearer. In another letter, later in his life, de Nobili admitted that it was only in this kind of subtle exchange, non-dogmatic in nature, that he could be successful. He explained, </w:t>
      </w:r>
      <w:r w:rsidR="00FA7E8E" w:rsidRPr="00FA7E8E">
        <w:t>“experience has shown to us that the one we have adopted is the best calculated to bring about a change in their prejudiced minds. It is certainl</w:t>
      </w:r>
      <w:r w:rsidR="00316072">
        <w:t>y better than to begin by attac</w:t>
      </w:r>
      <w:r w:rsidR="00FA7E8E" w:rsidRPr="00FA7E8E">
        <w:t>king their gods and erro</w:t>
      </w:r>
      <w:r w:rsidR="00316072">
        <w:t>r</w:t>
      </w:r>
      <w:r w:rsidR="00FA7E8E" w:rsidRPr="00FA7E8E">
        <w:t xml:space="preserve">s, for then they become hardened, and if they admit the truth, it is rather </w:t>
      </w:r>
      <w:r w:rsidR="00FA7E8E">
        <w:t>to blaspheme t</w:t>
      </w:r>
      <w:r w:rsidR="00316072">
        <w:t>h</w:t>
      </w:r>
      <w:r w:rsidR="00FA7E8E">
        <w:t>an to follow (Bertrand II 264-5).</w:t>
      </w:r>
      <w:r w:rsidR="00585453">
        <w:t xml:space="preserve"> De Nobili went</w:t>
      </w:r>
      <w:r w:rsidR="00316072">
        <w:t xml:space="preserve"> on to show how he was able to convert a devout </w:t>
      </w:r>
      <w:proofErr w:type="spellStart"/>
      <w:r w:rsidR="00316072">
        <w:t>Vaishnavite</w:t>
      </w:r>
      <w:proofErr w:type="spellEnd"/>
      <w:r w:rsidR="00316072">
        <w:t xml:space="preserve"> through continued lessons where he</w:t>
      </w:r>
      <w:r w:rsidR="00585453">
        <w:t xml:space="preserve"> refrained from criticizing his religious but instead showed </w:t>
      </w:r>
      <w:r w:rsidR="00585453">
        <w:lastRenderedPageBreak/>
        <w:t xml:space="preserve">and explained to him the truth and encouraged him to draw his own conclusions. And, eventually, he rubbed off the physical signs of his devotion to Vishnu and confessed, “if, when I [de Nobili] began explaining to him the catechism, I had found fault with those signs he certainly would have gone away, and never have come back to listen to my instructions.” These instances, then, show how de Nobili used dialogue to teach his own students and then incorporated his methods into the very text, borrowing content—spending time on the relationship between intention and action. Yet, we also see how de Nobili’s methods evolved away from focusing on the specific faults of local religious belief and instead on the method for arriving at truth.   </w:t>
      </w:r>
      <w:r w:rsidR="00316072">
        <w:t xml:space="preserve"> </w:t>
      </w:r>
    </w:p>
    <w:p w14:paraId="6D43E835" w14:textId="70145DF5" w:rsidR="001B3CDF" w:rsidRPr="009505FA" w:rsidRDefault="00ED2FFD" w:rsidP="007D5B98">
      <w:pPr>
        <w:spacing w:after="0" w:line="480" w:lineRule="auto"/>
      </w:pPr>
      <w:r>
        <w:tab/>
      </w:r>
      <w:r w:rsidR="00251C26">
        <w:t>The foundation of his argument as a case for a different kind of knowledge</w:t>
      </w:r>
      <w:r w:rsidR="007D5B98">
        <w:t xml:space="preserve"> deconstructed</w:t>
      </w:r>
      <w:r w:rsidR="00251C26">
        <w:t xml:space="preserve"> the perm</w:t>
      </w:r>
      <w:r w:rsidR="007D5B98">
        <w:t>anence of his words and replaced his</w:t>
      </w:r>
      <w:r w:rsidR="00251C26">
        <w:t xml:space="preserve"> authority with an invitation to know the real authority of their genesis. </w:t>
      </w:r>
      <w:r w:rsidR="007D5B98">
        <w:t>Th</w:t>
      </w:r>
      <w:r w:rsidR="00AD098B">
        <w:t>is function of the text calls for the dialogue to be read on its own terms</w:t>
      </w:r>
      <w:r w:rsidR="007D5B98">
        <w:t>, even as it engaged with the Indian and European traditions of dialogue</w:t>
      </w:r>
      <w:r w:rsidR="00AD098B">
        <w:t xml:space="preserve">. </w:t>
      </w:r>
      <w:r w:rsidR="007C4762">
        <w:t>De Nobili</w:t>
      </w:r>
      <w:r w:rsidR="00251C26">
        <w:t xml:space="preserve"> draws attention to the gap left open by his words</w:t>
      </w:r>
      <w:r w:rsidR="007D5B98">
        <w:t xml:space="preserve">—allowing even his </w:t>
      </w:r>
      <w:r w:rsidR="00DD376D">
        <w:t>mistakes to bring in his readers</w:t>
      </w:r>
      <w:r w:rsidR="00251C26">
        <w:t>.</w:t>
      </w:r>
      <w:r w:rsidR="00904ABC">
        <w:t xml:space="preserve"> Remainin</w:t>
      </w:r>
      <w:r w:rsidR="007D5B98">
        <w:t>g open, a mistake became</w:t>
      </w:r>
      <w:r w:rsidR="00DD376D">
        <w:t xml:space="preserve"> an opportunity for correction.</w:t>
      </w:r>
      <w:r w:rsidR="007D5B98">
        <w:t xml:space="preserve"> This wa</w:t>
      </w:r>
      <w:r w:rsidR="00251C26">
        <w:t>s what establishes a different kind of dispos</w:t>
      </w:r>
      <w:r w:rsidR="007D5B98">
        <w:t>ition for the text. The text</w:t>
      </w:r>
      <w:r w:rsidR="00251C26">
        <w:t xml:space="preserve"> destabilized the authority of its speaker and replaced it wit</w:t>
      </w:r>
      <w:r w:rsidR="007D5B98">
        <w:t>h a new kind of authority that wa</w:t>
      </w:r>
      <w:r w:rsidR="00251C26">
        <w:t>s also accessible to readers. Rhetoric in this case must necessarily be defined beyond its very form and instead fin</w:t>
      </w:r>
      <w:r w:rsidR="007D5B98">
        <w:t>d further definition through</w:t>
      </w:r>
      <w:r w:rsidR="00251C26">
        <w:t xml:space="preserve"> processes of articulation and enactment. Th</w:t>
      </w:r>
      <w:r w:rsidR="007D5B98">
        <w:t>is disposition preceded</w:t>
      </w:r>
      <w:r w:rsidR="00AD098B">
        <w:t xml:space="preserve"> </w:t>
      </w:r>
      <w:r w:rsidR="007D5B98">
        <w:t xml:space="preserve">the dialogue’s </w:t>
      </w:r>
      <w:r w:rsidR="00AD098B">
        <w:t>rhetorical convention</w:t>
      </w:r>
      <w:r w:rsidR="007D5B98">
        <w:t>s even as it was echoed in</w:t>
      </w:r>
      <w:r w:rsidR="00251C26">
        <w:t xml:space="preserve"> </w:t>
      </w:r>
      <w:r w:rsidR="007D5B98">
        <w:t xml:space="preserve">the contents of the </w:t>
      </w:r>
      <w:r w:rsidR="00251C26">
        <w:t xml:space="preserve">dialogue, beginning with </w:t>
      </w:r>
      <w:r w:rsidR="007C4762">
        <w:t>De Nobili</w:t>
      </w:r>
      <w:r w:rsidR="00251C26">
        <w:t xml:space="preserve">’s central claim: Knowledge is participation in the destiny of man, </w:t>
      </w:r>
      <w:r w:rsidR="00251C26">
        <w:rPr>
          <w:i/>
        </w:rPr>
        <w:t>the</w:t>
      </w:r>
      <w:r w:rsidR="00251C26">
        <w:t xml:space="preserve"> Reality, one both immanent and trans</w:t>
      </w:r>
      <w:r w:rsidR="007D5B98">
        <w:t xml:space="preserve">cendent. </w:t>
      </w:r>
      <w:r w:rsidR="00B81E44">
        <w:t xml:space="preserve">Rather than being </w:t>
      </w:r>
      <w:r w:rsidR="00EA2B8E">
        <w:t>strict</w:t>
      </w:r>
      <w:r w:rsidR="00B81E44">
        <w:t>ly rational</w:t>
      </w:r>
      <w:r w:rsidR="00EA2B8E">
        <w:t xml:space="preserve">, </w:t>
      </w:r>
      <w:r w:rsidR="00B81E44">
        <w:t>d</w:t>
      </w:r>
      <w:r w:rsidR="007C4762">
        <w:t>e Nobili</w:t>
      </w:r>
      <w:r w:rsidR="00EA2B8E">
        <w:t>’s dialogue atte</w:t>
      </w:r>
      <w:r w:rsidR="007D5B98">
        <w:t>mpted</w:t>
      </w:r>
      <w:r w:rsidR="00EA2B8E">
        <w:t xml:space="preserve"> to move readers through </w:t>
      </w:r>
      <w:r w:rsidR="007D5B98">
        <w:t>its rhetoric just as much as through its</w:t>
      </w:r>
      <w:r w:rsidR="00EA2B8E">
        <w:t xml:space="preserve"> logic. </w:t>
      </w:r>
      <w:r w:rsidR="007D5B98">
        <w:t>This move brought about a rhetoric that could</w:t>
      </w:r>
      <w:r w:rsidR="00251C26">
        <w:t xml:space="preserve"> withstand the pressures of cross-cultural difference</w:t>
      </w:r>
      <w:r w:rsidR="007D5B98">
        <w:t xml:space="preserve"> because of its search for new </w:t>
      </w:r>
      <w:r w:rsidR="007D5B98">
        <w:lastRenderedPageBreak/>
        <w:t>forms of articulation through dialogue</w:t>
      </w:r>
      <w:r w:rsidR="00251C26">
        <w:t xml:space="preserve">. </w:t>
      </w:r>
      <w:r w:rsidR="007C4762">
        <w:t>De Nobili</w:t>
      </w:r>
      <w:r w:rsidR="007D5B98">
        <w:t>’s dialogue revealed</w:t>
      </w:r>
      <w:r w:rsidR="001B3CDF">
        <w:t xml:space="preserve"> the open-ended nature of his writings and </w:t>
      </w:r>
      <w:r w:rsidR="007D5B98">
        <w:t>his ability to create a</w:t>
      </w:r>
      <w:r w:rsidR="001B3CDF">
        <w:t xml:space="preserve"> context for early modern apologetics, one that was neither entirely European nor Indian.  </w:t>
      </w:r>
    </w:p>
    <w:p w14:paraId="31DADF73" w14:textId="13C2F117" w:rsidR="007D3A81" w:rsidRDefault="004F1EB8" w:rsidP="007C4762">
      <w:pPr>
        <w:spacing w:after="0" w:line="480" w:lineRule="auto"/>
        <w:jc w:val="center"/>
        <w:outlineLvl w:val="0"/>
        <w:rPr>
          <w:b/>
        </w:rPr>
      </w:pPr>
      <w:r>
        <w:rPr>
          <w:b/>
          <w:i/>
        </w:rPr>
        <w:t>The Report on Certain Customs of the Indian Nation</w:t>
      </w:r>
    </w:p>
    <w:p w14:paraId="441243BD" w14:textId="09122D96" w:rsidR="002F3531" w:rsidRPr="00B72CA2" w:rsidRDefault="00BC300B" w:rsidP="00643044">
      <w:pPr>
        <w:spacing w:after="0" w:line="480" w:lineRule="auto"/>
        <w:ind w:firstLine="720"/>
      </w:pPr>
      <w:r>
        <w:t>During his lifetime, de Nobili’s writing</w:t>
      </w:r>
      <w:r w:rsidR="008605D0">
        <w:t xml:space="preserve"> circulated in India between Madurai, </w:t>
      </w:r>
      <w:proofErr w:type="spellStart"/>
      <w:r w:rsidR="008605D0">
        <w:t>Cranganore</w:t>
      </w:r>
      <w:proofErr w:type="spellEnd"/>
      <w:r w:rsidR="008605D0">
        <w:t>, and Goa, and in Europe between Portugal and Italy.</w:t>
      </w:r>
      <w:r>
        <w:t xml:space="preserve"> </w:t>
      </w:r>
      <w:r w:rsidR="00F35AD1">
        <w:t xml:space="preserve">Not </w:t>
      </w:r>
      <w:r w:rsidR="00251530">
        <w:t xml:space="preserve">a </w:t>
      </w:r>
      <w:r w:rsidR="00DE383A">
        <w:t>dialogue and</w:t>
      </w:r>
      <w:r w:rsidR="009A0007">
        <w:t xml:space="preserve"> not in Tamil, </w:t>
      </w:r>
      <w:r>
        <w:t>this writing mainly took the form of letters</w:t>
      </w:r>
      <w:r w:rsidR="00F37B69">
        <w:t>,</w:t>
      </w:r>
      <w:r>
        <w:t xml:space="preserve"> reports, and Latin defenses of his missionary practices.</w:t>
      </w:r>
      <w:r w:rsidRPr="00BC300B">
        <w:t xml:space="preserve"> </w:t>
      </w:r>
      <w:r w:rsidR="00556ADA">
        <w:t>De Nobili came under internatio</w:t>
      </w:r>
      <w:r w:rsidR="00583B03">
        <w:t xml:space="preserve">nal scrutiny when </w:t>
      </w:r>
      <w:proofErr w:type="spellStart"/>
      <w:r w:rsidR="00F37B69">
        <w:t>Gonçalo</w:t>
      </w:r>
      <w:proofErr w:type="spellEnd"/>
      <w:r w:rsidR="00F37B69">
        <w:t xml:space="preserve"> </w:t>
      </w:r>
      <w:proofErr w:type="spellStart"/>
      <w:r w:rsidR="00F37B69">
        <w:t>Fernandes</w:t>
      </w:r>
      <w:proofErr w:type="spellEnd"/>
      <w:r w:rsidR="00583B03">
        <w:t xml:space="preserve"> wrote to their</w:t>
      </w:r>
      <w:r w:rsidR="00556ADA">
        <w:t xml:space="preserve"> superiors, suggesting that de Nobili was inciting a church schism. </w:t>
      </w:r>
      <w:proofErr w:type="spellStart"/>
      <w:r w:rsidR="00556ADA">
        <w:t>Fernandes</w:t>
      </w:r>
      <w:proofErr w:type="spellEnd"/>
      <w:r w:rsidR="00556ADA">
        <w:t xml:space="preserve"> attacked de Nobili for allowing converts to maintain “superstitious practices” and for distinguishing himself from </w:t>
      </w:r>
      <w:proofErr w:type="spellStart"/>
      <w:r w:rsidR="00556ADA">
        <w:t>Fernandes’s</w:t>
      </w:r>
      <w:proofErr w:type="spellEnd"/>
      <w:r w:rsidR="00301CA2">
        <w:t xml:space="preserve"> church in Madurai</w:t>
      </w:r>
      <w:r w:rsidR="007F0BC7">
        <w:t>, but</w:t>
      </w:r>
      <w:r w:rsidR="00817FF5">
        <w:t xml:space="preserve"> </w:t>
      </w:r>
      <w:r w:rsidR="007F0BC7">
        <w:t>d</w:t>
      </w:r>
      <w:r w:rsidR="00556ADA">
        <w:t>e Nobili defend</w:t>
      </w:r>
      <w:r w:rsidR="00301CA2">
        <w:t>ed</w:t>
      </w:r>
      <w:r w:rsidR="00556ADA">
        <w:t xml:space="preserve"> his methods</w:t>
      </w:r>
      <w:r w:rsidR="00301CA2">
        <w:t xml:space="preserve"> by sending letters and explanations </w:t>
      </w:r>
      <w:r w:rsidR="008A05B3">
        <w:t>to</w:t>
      </w:r>
      <w:r w:rsidR="003A0063">
        <w:t xml:space="preserve"> </w:t>
      </w:r>
      <w:r w:rsidR="00301CA2">
        <w:t xml:space="preserve">his superiors as well as his allies in </w:t>
      </w:r>
      <w:r w:rsidR="00556ADA">
        <w:t>Goa and</w:t>
      </w:r>
      <w:r w:rsidR="003A0063">
        <w:t xml:space="preserve"> </w:t>
      </w:r>
      <w:r w:rsidR="00556ADA">
        <w:t xml:space="preserve">Rome. </w:t>
      </w:r>
      <w:r w:rsidR="002116F2">
        <w:t xml:space="preserve">Influential Catholic figures like </w:t>
      </w:r>
      <w:r w:rsidR="00301CA2">
        <w:t xml:space="preserve">Cardinal </w:t>
      </w:r>
      <w:proofErr w:type="spellStart"/>
      <w:r w:rsidR="00301CA2">
        <w:t>Bellarmino</w:t>
      </w:r>
      <w:proofErr w:type="spellEnd"/>
      <w:r w:rsidR="002116F2">
        <w:t xml:space="preserve">, the King of Portugal, and the </w:t>
      </w:r>
      <w:r w:rsidR="00301CA2">
        <w:t>chief inquisitors in Goa</w:t>
      </w:r>
      <w:r w:rsidR="002116F2">
        <w:t xml:space="preserve"> all made t</w:t>
      </w:r>
      <w:r w:rsidR="00583B03">
        <w:t>heir own written judgements of d</w:t>
      </w:r>
      <w:r w:rsidR="002116F2">
        <w:t>e Nobili</w:t>
      </w:r>
      <w:r w:rsidR="00301CA2">
        <w:t>’s</w:t>
      </w:r>
      <w:r w:rsidR="002116F2">
        <w:t xml:space="preserve"> Madurai mission. </w:t>
      </w:r>
      <w:r w:rsidR="00556ADA">
        <w:t>The controversy dragged on until it was officially settled in</w:t>
      </w:r>
      <w:r w:rsidR="00301CA2">
        <w:t xml:space="preserve"> de Nobili’s favor </w:t>
      </w:r>
      <w:r w:rsidR="00556ADA">
        <w:t xml:space="preserve">with Pope </w:t>
      </w:r>
      <w:r w:rsidR="00301CA2" w:rsidRPr="00301CA2">
        <w:t xml:space="preserve">Gregory XV’s 1623 Apostolic Letter </w:t>
      </w:r>
      <w:proofErr w:type="spellStart"/>
      <w:r w:rsidR="00301CA2" w:rsidRPr="00301CA2">
        <w:rPr>
          <w:i/>
        </w:rPr>
        <w:t>Romanae</w:t>
      </w:r>
      <w:proofErr w:type="spellEnd"/>
      <w:r w:rsidR="00301CA2" w:rsidRPr="00301CA2">
        <w:rPr>
          <w:i/>
        </w:rPr>
        <w:t xml:space="preserve"> </w:t>
      </w:r>
      <w:proofErr w:type="spellStart"/>
      <w:r w:rsidR="00301CA2" w:rsidRPr="00301CA2">
        <w:rPr>
          <w:i/>
        </w:rPr>
        <w:t>Sedis</w:t>
      </w:r>
      <w:proofErr w:type="spellEnd"/>
      <w:r w:rsidR="00301CA2" w:rsidRPr="00301CA2">
        <w:rPr>
          <w:i/>
        </w:rPr>
        <w:t xml:space="preserve"> </w:t>
      </w:r>
      <w:proofErr w:type="spellStart"/>
      <w:r w:rsidR="00301CA2" w:rsidRPr="00301CA2">
        <w:rPr>
          <w:i/>
        </w:rPr>
        <w:t>Antistes</w:t>
      </w:r>
      <w:proofErr w:type="spellEnd"/>
      <w:r w:rsidR="00556ADA">
        <w:t xml:space="preserve">. While </w:t>
      </w:r>
      <w:r w:rsidR="005116B0">
        <w:t>d</w:t>
      </w:r>
      <w:r w:rsidR="00556ADA">
        <w:t xml:space="preserve">e Nobili became famous for composing beautiful songs and persuasive debates </w:t>
      </w:r>
      <w:r w:rsidR="00AF628F">
        <w:t>in Tamil</w:t>
      </w:r>
      <w:r w:rsidR="00556ADA">
        <w:t xml:space="preserve">, </w:t>
      </w:r>
      <w:r w:rsidR="002116F2">
        <w:t xml:space="preserve">this international controversy </w:t>
      </w:r>
      <w:r w:rsidR="00301CA2">
        <w:t>traces</w:t>
      </w:r>
      <w:r w:rsidR="002116F2">
        <w:t xml:space="preserve"> a Catholic context for de Nobili’s work. </w:t>
      </w:r>
      <w:r w:rsidR="00556ADA">
        <w:t xml:space="preserve">De Nobili’s most </w:t>
      </w:r>
      <w:r w:rsidR="002116F2">
        <w:t xml:space="preserve">renowned </w:t>
      </w:r>
      <w:r w:rsidR="00556ADA">
        <w:t xml:space="preserve">literary </w:t>
      </w:r>
      <w:r w:rsidR="002116F2">
        <w:t>achievements composed in Tamil verse</w:t>
      </w:r>
      <w:r w:rsidR="00556ADA">
        <w:t xml:space="preserve"> are no longer extant, while his political </w:t>
      </w:r>
      <w:r w:rsidR="002116F2">
        <w:t>defenses</w:t>
      </w:r>
      <w:r w:rsidR="00556ADA">
        <w:t xml:space="preserve"> and letters are. The record</w:t>
      </w:r>
      <w:r w:rsidR="002116F2">
        <w:t xml:space="preserve"> of the controversy</w:t>
      </w:r>
      <w:r w:rsidR="00556ADA">
        <w:t xml:space="preserve"> is </w:t>
      </w:r>
      <w:r w:rsidR="002116F2">
        <w:t>a rhetorical account, one aimed ultimately</w:t>
      </w:r>
      <w:r w:rsidR="00556ADA">
        <w:t xml:space="preserve"> at persuading the Pontiff. </w:t>
      </w:r>
      <w:r w:rsidR="007C1391">
        <w:t>Unlike the</w:t>
      </w:r>
      <w:r w:rsidR="00556ADA">
        <w:t xml:space="preserve"> Tamil t</w:t>
      </w:r>
      <w:r w:rsidR="007C1391">
        <w:t xml:space="preserve">exts that </w:t>
      </w:r>
      <w:r w:rsidR="00556ADA">
        <w:t>preserve his real</w:t>
      </w:r>
      <w:r w:rsidR="007C1391">
        <w:t xml:space="preserve"> attempt to speak with locals, de Nobili’s</w:t>
      </w:r>
      <w:r w:rsidR="00556ADA">
        <w:t xml:space="preserve"> Latin </w:t>
      </w:r>
      <w:r w:rsidR="002116F2">
        <w:t>defenses frame the mission for his correspondents</w:t>
      </w:r>
      <w:r w:rsidR="007C1391">
        <w:t xml:space="preserve"> in a way</w:t>
      </w:r>
      <w:r w:rsidR="002116F2">
        <w:t xml:space="preserve"> </w:t>
      </w:r>
      <w:r w:rsidR="00556ADA">
        <w:t xml:space="preserve">that would </w:t>
      </w:r>
      <w:r w:rsidR="007C1391">
        <w:t>convince them of his vision’s Christian core</w:t>
      </w:r>
      <w:r w:rsidR="002116F2">
        <w:t xml:space="preserve">. </w:t>
      </w:r>
      <w:r w:rsidR="007C1391">
        <w:t xml:space="preserve">Like his Tamil texts, they continue to demonstrate how de Nobili engaged with the rhetorical traditions around him, in this case, a </w:t>
      </w:r>
      <w:r w:rsidR="007C1391">
        <w:lastRenderedPageBreak/>
        <w:t xml:space="preserve">tradition of Catholic apologetics, and betray the spiritual outlook that motivated his transgressive practices. </w:t>
      </w:r>
      <w:r w:rsidR="00B72CA2">
        <w:t xml:space="preserve">This section analyzes </w:t>
      </w:r>
      <w:r w:rsidR="008E6A32">
        <w:t>d</w:t>
      </w:r>
      <w:r w:rsidR="007C4762">
        <w:t>e Nobili</w:t>
      </w:r>
      <w:r w:rsidR="00B72CA2">
        <w:t xml:space="preserve">’s </w:t>
      </w:r>
      <w:r w:rsidR="00643044" w:rsidRPr="008E6A32">
        <w:rPr>
          <w:i/>
        </w:rPr>
        <w:t>Report on Certain Customs of the Indian Nation</w:t>
      </w:r>
      <w:r w:rsidR="00643044">
        <w:t xml:space="preserve"> (</w:t>
      </w:r>
      <w:proofErr w:type="spellStart"/>
      <w:r w:rsidR="00643044">
        <w:rPr>
          <w:i/>
        </w:rPr>
        <w:t>Informatio</w:t>
      </w:r>
      <w:proofErr w:type="spellEnd"/>
      <w:r w:rsidR="00643044">
        <w:rPr>
          <w:i/>
        </w:rPr>
        <w:t xml:space="preserve"> de </w:t>
      </w:r>
      <w:proofErr w:type="spellStart"/>
      <w:r w:rsidR="00643044">
        <w:rPr>
          <w:i/>
        </w:rPr>
        <w:t>Quibusdam</w:t>
      </w:r>
      <w:proofErr w:type="spellEnd"/>
      <w:r w:rsidR="00643044">
        <w:rPr>
          <w:i/>
        </w:rPr>
        <w:t xml:space="preserve"> </w:t>
      </w:r>
      <w:proofErr w:type="spellStart"/>
      <w:r w:rsidR="00643044">
        <w:rPr>
          <w:i/>
        </w:rPr>
        <w:t>Moribus</w:t>
      </w:r>
      <w:proofErr w:type="spellEnd"/>
      <w:r w:rsidR="00643044">
        <w:rPr>
          <w:i/>
        </w:rPr>
        <w:t xml:space="preserve"> </w:t>
      </w:r>
      <w:proofErr w:type="spellStart"/>
      <w:r w:rsidR="00643044">
        <w:rPr>
          <w:i/>
        </w:rPr>
        <w:t>Nationis</w:t>
      </w:r>
      <w:proofErr w:type="spellEnd"/>
      <w:r w:rsidR="00643044">
        <w:rPr>
          <w:i/>
        </w:rPr>
        <w:t xml:space="preserve"> </w:t>
      </w:r>
      <w:proofErr w:type="spellStart"/>
      <w:r w:rsidR="00643044">
        <w:rPr>
          <w:i/>
        </w:rPr>
        <w:t>Indicae</w:t>
      </w:r>
      <w:proofErr w:type="spellEnd"/>
      <w:r w:rsidR="00643044">
        <w:t xml:space="preserve">) </w:t>
      </w:r>
      <w:r w:rsidR="00B72CA2">
        <w:t xml:space="preserve">within the context of his communication with Europe. </w:t>
      </w:r>
      <w:r w:rsidR="00643044">
        <w:t>W</w:t>
      </w:r>
      <w:r w:rsidR="00B72CA2">
        <w:t xml:space="preserve">hile presenting an </w:t>
      </w:r>
      <w:r w:rsidR="00643044">
        <w:t>anthropological account of</w:t>
      </w:r>
      <w:r w:rsidR="00B72CA2">
        <w:t xml:space="preserve"> India </w:t>
      </w:r>
      <w:r w:rsidR="00643044">
        <w:t>to Europe,</w:t>
      </w:r>
      <w:r w:rsidR="00643044" w:rsidRPr="00643044">
        <w:t xml:space="preserve"> </w:t>
      </w:r>
      <w:r w:rsidR="00643044">
        <w:t xml:space="preserve">De Nobili’s </w:t>
      </w:r>
      <w:proofErr w:type="spellStart"/>
      <w:r w:rsidR="00643044">
        <w:rPr>
          <w:i/>
        </w:rPr>
        <w:t>Informatio</w:t>
      </w:r>
      <w:proofErr w:type="spellEnd"/>
      <w:r w:rsidR="00643044">
        <w:t xml:space="preserve"> </w:t>
      </w:r>
      <w:r w:rsidR="00685745">
        <w:t xml:space="preserve">qualified his objective distance by close-reading Indian texts alongside Indian cultural practices. De Nobili ultimately was arguing that cultural forms had to be distinguished based on intent, and his argument embodied this distinction in </w:t>
      </w:r>
      <w:r w:rsidR="000A27F4">
        <w:t xml:space="preserve">its equal allegiance to form and spirit. </w:t>
      </w:r>
    </w:p>
    <w:p w14:paraId="4E2A6730" w14:textId="0AC5F11B" w:rsidR="008255E1" w:rsidRPr="008255E1" w:rsidRDefault="00251C26">
      <w:pPr>
        <w:spacing w:after="0" w:line="480" w:lineRule="auto"/>
      </w:pPr>
      <w:r>
        <w:rPr>
          <w:b/>
        </w:rPr>
        <w:tab/>
      </w:r>
      <w:r>
        <w:t xml:space="preserve">Roberto de </w:t>
      </w:r>
      <w:r w:rsidR="007C4762">
        <w:t>Nobili</w:t>
      </w:r>
      <w:r w:rsidR="008E6A32">
        <w:t xml:space="preserve"> wrote the </w:t>
      </w:r>
      <w:r w:rsidRPr="008E6A32">
        <w:rPr>
          <w:i/>
        </w:rPr>
        <w:t>Report on Certa</w:t>
      </w:r>
      <w:r w:rsidR="008E6A32" w:rsidRPr="008E6A32">
        <w:rPr>
          <w:i/>
        </w:rPr>
        <w:t>in Customs of the Indian Nation</w:t>
      </w:r>
      <w:r>
        <w:t xml:space="preserve"> (</w:t>
      </w:r>
      <w:proofErr w:type="spellStart"/>
      <w:r>
        <w:rPr>
          <w:i/>
        </w:rPr>
        <w:t>Informatio</w:t>
      </w:r>
      <w:proofErr w:type="spellEnd"/>
      <w:r>
        <w:rPr>
          <w:i/>
        </w:rPr>
        <w:t xml:space="preserve"> de </w:t>
      </w:r>
      <w:proofErr w:type="spellStart"/>
      <w:r>
        <w:rPr>
          <w:i/>
        </w:rPr>
        <w:t>Quibusdam</w:t>
      </w:r>
      <w:proofErr w:type="spellEnd"/>
      <w:r>
        <w:rPr>
          <w:i/>
        </w:rPr>
        <w:t xml:space="preserve"> </w:t>
      </w:r>
      <w:proofErr w:type="spellStart"/>
      <w:r>
        <w:rPr>
          <w:i/>
        </w:rPr>
        <w:t>Moribus</w:t>
      </w:r>
      <w:proofErr w:type="spellEnd"/>
      <w:r>
        <w:rPr>
          <w:i/>
        </w:rPr>
        <w:t xml:space="preserve"> </w:t>
      </w:r>
      <w:proofErr w:type="spellStart"/>
      <w:r>
        <w:rPr>
          <w:i/>
        </w:rPr>
        <w:t>Nationis</w:t>
      </w:r>
      <w:proofErr w:type="spellEnd"/>
      <w:r>
        <w:rPr>
          <w:i/>
        </w:rPr>
        <w:t xml:space="preserve"> </w:t>
      </w:r>
      <w:proofErr w:type="spellStart"/>
      <w:r>
        <w:rPr>
          <w:i/>
        </w:rPr>
        <w:t>Indicae</w:t>
      </w:r>
      <w:proofErr w:type="spellEnd"/>
      <w:r>
        <w:t xml:space="preserve">) around 1613, sending it to the Jesuit General Claudio </w:t>
      </w:r>
      <w:proofErr w:type="spellStart"/>
      <w:r>
        <w:t>Aquaviva</w:t>
      </w:r>
      <w:proofErr w:type="spellEnd"/>
      <w:r>
        <w:t xml:space="preserve"> in 1615 with the permission of the Archbishop of </w:t>
      </w:r>
      <w:proofErr w:type="spellStart"/>
      <w:r>
        <w:t>Cranganore</w:t>
      </w:r>
      <w:proofErr w:type="spellEnd"/>
      <w:r>
        <w:t xml:space="preserve">, Francisco </w:t>
      </w:r>
      <w:proofErr w:type="spellStart"/>
      <w:r>
        <w:t>Ros</w:t>
      </w:r>
      <w:proofErr w:type="spellEnd"/>
      <w:r>
        <w:t xml:space="preserve">. The </w:t>
      </w:r>
      <w:r w:rsidRPr="008E6A32">
        <w:rPr>
          <w:i/>
        </w:rPr>
        <w:t>Report</w:t>
      </w:r>
      <w:r>
        <w:t xml:space="preserve"> laid out a defense for </w:t>
      </w:r>
      <w:r w:rsidR="00D920BC">
        <w:t>d</w:t>
      </w:r>
      <w:r w:rsidR="007C4762">
        <w:t>e Nobili</w:t>
      </w:r>
      <w:r>
        <w:t xml:space="preserve">’s methods of cultural adaptation, a rebuttal </w:t>
      </w:r>
      <w:r w:rsidR="00031BC8">
        <w:t xml:space="preserve">to </w:t>
      </w:r>
      <w:proofErr w:type="spellStart"/>
      <w:r w:rsidR="00031BC8">
        <w:t>Fernandes</w:t>
      </w:r>
      <w:proofErr w:type="spellEnd"/>
      <w:r w:rsidR="00031BC8">
        <w:t>’ criticism and censures from church authorities in Goa, that</w:t>
      </w:r>
      <w:r>
        <w:t xml:space="preserve"> attempted to clarify his underlying rationale to those who had criticized his approach as</w:t>
      </w:r>
      <w:r w:rsidR="00637135">
        <w:t xml:space="preserve"> heretical and subversive. </w:t>
      </w:r>
      <w:r w:rsidR="00D920BC">
        <w:t>It</w:t>
      </w:r>
      <w:r>
        <w:t xml:space="preserve"> presented an exhaustive explanation of local Indian customs and religious practices based in close readings of sacred scriptures. Focused on responding to criticism that interpreted his cultural accommodations as religious adaptation, </w:t>
      </w:r>
      <w:r w:rsidR="008E6A32">
        <w:t>d</w:t>
      </w:r>
      <w:r w:rsidR="007C4762">
        <w:t>e Nobili</w:t>
      </w:r>
      <w:r w:rsidR="00637135">
        <w:t>’s account made</w:t>
      </w:r>
      <w:r>
        <w:t xml:space="preserve"> a clear distinction between religious and social customs, taking up the social significance of clothing, hair, a</w:t>
      </w:r>
      <w:r w:rsidR="00637135">
        <w:t>nd social class.</w:t>
      </w:r>
      <w:r w:rsidR="00824D12">
        <w:t xml:space="preserve"> In </w:t>
      </w:r>
      <w:r>
        <w:t xml:space="preserve">making his argument, </w:t>
      </w:r>
      <w:r w:rsidR="00824D12">
        <w:t xml:space="preserve">de Nobili </w:t>
      </w:r>
      <w:r>
        <w:t>assumed that his audience was misinformed</w:t>
      </w:r>
      <w:r w:rsidR="00824D12">
        <w:t>.</w:t>
      </w:r>
      <w:r>
        <w:t xml:space="preserve"> </w:t>
      </w:r>
      <w:r w:rsidR="008E6A32">
        <w:t>The text wa</w:t>
      </w:r>
      <w:r>
        <w:t>s not about pure “</w:t>
      </w:r>
      <w:proofErr w:type="spellStart"/>
      <w:r>
        <w:rPr>
          <w:i/>
        </w:rPr>
        <w:t>informatio</w:t>
      </w:r>
      <w:proofErr w:type="spellEnd"/>
      <w:r>
        <w:t xml:space="preserve">”; </w:t>
      </w:r>
      <w:r w:rsidR="008E6A32">
        <w:t>d</w:t>
      </w:r>
      <w:r w:rsidR="007C4762">
        <w:t>e Nobili</w:t>
      </w:r>
      <w:r w:rsidR="008255E1">
        <w:t xml:space="preserve">’s </w:t>
      </w:r>
      <w:r w:rsidR="00824D12">
        <w:t>defense</w:t>
      </w:r>
      <w:r w:rsidR="008255E1">
        <w:t xml:space="preserve"> align</w:t>
      </w:r>
      <w:r w:rsidR="008E6A32">
        <w:t>ed itself</w:t>
      </w:r>
      <w:r w:rsidR="008255E1">
        <w:t xml:space="preserve"> with European </w:t>
      </w:r>
      <w:r w:rsidR="008E6A32">
        <w:t xml:space="preserve">forms of logic and reason </w:t>
      </w:r>
      <w:r w:rsidR="008255E1">
        <w:t>to bring his readers into</w:t>
      </w:r>
      <w:r w:rsidR="008E6A32">
        <w:t xml:space="preserve"> the Indian</w:t>
      </w:r>
      <w:r w:rsidR="008255E1">
        <w:t xml:space="preserve"> context.  </w:t>
      </w:r>
    </w:p>
    <w:p w14:paraId="7E0BDB4F" w14:textId="4EED81AD" w:rsidR="007D3A81" w:rsidRPr="008255E1" w:rsidRDefault="00251C26" w:rsidP="008E6A32">
      <w:pPr>
        <w:spacing w:after="0" w:line="480" w:lineRule="auto"/>
        <w:rPr>
          <w:b/>
        </w:rPr>
      </w:pPr>
      <w:r>
        <w:rPr>
          <w:b/>
          <w:i/>
        </w:rPr>
        <w:tab/>
      </w:r>
      <w:r w:rsidR="001A6D85">
        <w:t xml:space="preserve">The </w:t>
      </w:r>
      <w:r w:rsidR="001A6D85" w:rsidRPr="00134C88">
        <w:rPr>
          <w:i/>
        </w:rPr>
        <w:t>Report</w:t>
      </w:r>
      <w:r w:rsidR="00134C88">
        <w:t xml:space="preserve"> first and foremost satisfied</w:t>
      </w:r>
      <w:r>
        <w:t xml:space="preserve"> the demands of philosophic inquiry and theological rigor. </w:t>
      </w:r>
      <w:r w:rsidR="001A6D85">
        <w:t xml:space="preserve">The </w:t>
      </w:r>
      <w:r w:rsidR="001A6D85" w:rsidRPr="00134C88">
        <w:rPr>
          <w:i/>
        </w:rPr>
        <w:t>Report</w:t>
      </w:r>
      <w:r w:rsidR="00824D12">
        <w:t xml:space="preserve"> wa</w:t>
      </w:r>
      <w:r>
        <w:t xml:space="preserve">s divided into eleven chapters: 1) a description of the social structures of the Indian state according to civil law; 2) arguments in support of the view that the </w:t>
      </w:r>
      <w:proofErr w:type="spellStart"/>
      <w:r>
        <w:lastRenderedPageBreak/>
        <w:t>brahmins</w:t>
      </w:r>
      <w:proofErr w:type="spellEnd"/>
      <w:r>
        <w:t xml:space="preserve">, by reason of their social rank and specific office, constitute the particular class of the learned; 3) the sciences which the </w:t>
      </w:r>
      <w:proofErr w:type="spellStart"/>
      <w:r>
        <w:t>brahmins</w:t>
      </w:r>
      <w:proofErr w:type="spellEnd"/>
      <w:r>
        <w:t xml:space="preserve"> pursue professionally; 4) the </w:t>
      </w:r>
      <w:proofErr w:type="spellStart"/>
      <w:r>
        <w:t>brahmin</w:t>
      </w:r>
      <w:proofErr w:type="spellEnd"/>
      <w:r>
        <w:t xml:space="preserve"> sects assessed from a religious standpoint; 5) the priesthood of the Indian nation; 6) certain customs connected with the </w:t>
      </w:r>
      <w:proofErr w:type="spellStart"/>
      <w:r>
        <w:t>brahmin</w:t>
      </w:r>
      <w:proofErr w:type="spellEnd"/>
      <w:r>
        <w:t xml:space="preserve"> caste; 7) the thread, the distinctive mark of the </w:t>
      </w:r>
      <w:proofErr w:type="spellStart"/>
      <w:r>
        <w:t>brahmins</w:t>
      </w:r>
      <w:proofErr w:type="spellEnd"/>
      <w:r>
        <w:t xml:space="preserve">; 8) the tuft of hair, called </w:t>
      </w:r>
      <w:proofErr w:type="spellStart"/>
      <w:r>
        <w:t>kutami</w:t>
      </w:r>
      <w:proofErr w:type="spellEnd"/>
      <w:r>
        <w:t xml:space="preserve">; 9) two other debated customs, the wearing of sandal paste and the scholar’s mark; 10) rules which should guide missionaries in adopting and making judgments about India’s social customs; and 11) the necessity of sanctioning customs prevalent in India, insofar as they are purely social. </w:t>
      </w:r>
      <w:r w:rsidR="00824D12">
        <w:t xml:space="preserve">The </w:t>
      </w:r>
      <w:r w:rsidR="00824D12">
        <w:rPr>
          <w:i/>
        </w:rPr>
        <w:t xml:space="preserve">Report </w:t>
      </w:r>
      <w:r w:rsidR="00A7432E">
        <w:t>wa</w:t>
      </w:r>
      <w:r w:rsidR="006E2108">
        <w:t>s structured into a series of propositions that explain</w:t>
      </w:r>
      <w:r w:rsidR="00A7432E">
        <w:t>ed</w:t>
      </w:r>
      <w:r w:rsidR="006E2108">
        <w:t xml:space="preserve"> the role and responsibilities of Brahmins in order to distinguish the significance of their dress and customs as cultural rather than religious. The</w:t>
      </w:r>
      <w:r w:rsidR="00317598">
        <w:t>se</w:t>
      </w:r>
      <w:r w:rsidR="006E2108">
        <w:t xml:space="preserve"> strict logical proofs provide</w:t>
      </w:r>
      <w:r w:rsidR="00A7432E">
        <w:t>d</w:t>
      </w:r>
      <w:r w:rsidR="006E2108">
        <w:t xml:space="preserve"> a foundation for developing </w:t>
      </w:r>
      <w:r w:rsidR="00A7432E">
        <w:t>a</w:t>
      </w:r>
      <w:r w:rsidR="006E2108">
        <w:t xml:space="preserve"> definition of the subject matter. </w:t>
      </w:r>
    </w:p>
    <w:p w14:paraId="14A86F5C" w14:textId="70857D3E" w:rsidR="00667AB7" w:rsidRPr="00FF72DE" w:rsidRDefault="00A7432E" w:rsidP="00FF72DE">
      <w:pPr>
        <w:spacing w:after="0" w:line="480" w:lineRule="auto"/>
        <w:ind w:firstLine="720"/>
        <w:rPr>
          <w:b/>
        </w:rPr>
      </w:pPr>
      <w:r>
        <w:t>This working structure wa</w:t>
      </w:r>
      <w:r w:rsidR="00251C26">
        <w:t xml:space="preserve">s </w:t>
      </w:r>
      <w:r>
        <w:t>further followed within each chapter</w:t>
      </w:r>
      <w:r w:rsidR="00294449">
        <w:t xml:space="preserve"> and betray de Nobili’s use of </w:t>
      </w:r>
      <w:proofErr w:type="spellStart"/>
      <w:r w:rsidR="00294449">
        <w:t>Thomistic</w:t>
      </w:r>
      <w:proofErr w:type="spellEnd"/>
      <w:r w:rsidR="00294449">
        <w:t xml:space="preserve"> logic to organize his case</w:t>
      </w:r>
      <w:r>
        <w:t xml:space="preserve">. </w:t>
      </w:r>
      <w:r w:rsidR="00824D12">
        <w:t xml:space="preserve">Each main point was laid out in its own individual chapter, and each chapter began with a definition of terms. </w:t>
      </w:r>
      <w:r w:rsidR="00FF72DE">
        <w:t>The text then unfolded as the factual presentation of new knowledge, sketching the outlines of Indian social customs for those unfamiliar</w:t>
      </w:r>
      <w:r w:rsidR="00FF72DE">
        <w:rPr>
          <w:i/>
        </w:rPr>
        <w:t>.</w:t>
      </w:r>
      <w:r w:rsidR="00FF72DE">
        <w:t xml:space="preserve"> </w:t>
      </w:r>
      <w:r>
        <w:t xml:space="preserve">To take </w:t>
      </w:r>
      <w:r w:rsidR="00251C26">
        <w:t xml:space="preserve">chapter one as an example, </w:t>
      </w:r>
      <w:r>
        <w:t>d</w:t>
      </w:r>
      <w:r w:rsidR="007C4762">
        <w:t>e Nobili</w:t>
      </w:r>
      <w:r w:rsidR="00FF72DE">
        <w:t xml:space="preserve"> addressed</w:t>
      </w:r>
      <w:r w:rsidR="00251C26">
        <w:t xml:space="preserve"> the “Social Structures of the Indian State According to Civil Law” through six</w:t>
      </w:r>
      <w:r w:rsidR="00FF72DE">
        <w:t xml:space="preserve"> supporting sub-sections. They we</w:t>
      </w:r>
      <w:r w:rsidR="00251C26">
        <w:t xml:space="preserve">re 1) Brahmins, 2) Kshatriyas, 3) </w:t>
      </w:r>
      <w:proofErr w:type="spellStart"/>
      <w:r w:rsidR="00251C26">
        <w:t>Vaishyas</w:t>
      </w:r>
      <w:proofErr w:type="spellEnd"/>
      <w:r w:rsidR="00251C26">
        <w:t xml:space="preserve">, 4) Shudras, 5) Shudras are Subdivided into 6 Classes, and 6) Profession is Enforced by Law According to </w:t>
      </w:r>
      <w:r>
        <w:t>Caste. The chapter then provided</w:t>
      </w:r>
      <w:r w:rsidR="00251C26">
        <w:t xml:space="preserve"> a basic definition of the different </w:t>
      </w:r>
      <w:r w:rsidR="00FF72DE">
        <w:t xml:space="preserve">Indian </w:t>
      </w:r>
      <w:r w:rsidR="00251C26">
        <w:t>social classes based in texts</w:t>
      </w:r>
      <w:r w:rsidR="00BD09A0">
        <w:t xml:space="preserve"> like</w:t>
      </w:r>
      <w:r w:rsidR="00251C26">
        <w:t xml:space="preserve"> the </w:t>
      </w:r>
      <w:r w:rsidR="00251C26">
        <w:rPr>
          <w:i/>
        </w:rPr>
        <w:t>Laws of Manu</w:t>
      </w:r>
      <w:r w:rsidR="00294449">
        <w:rPr>
          <w:i/>
        </w:rPr>
        <w:t xml:space="preserve"> </w:t>
      </w:r>
      <w:r w:rsidR="00294449">
        <w:t xml:space="preserve">but following a logic similar to that used by Thomas Aquinas. As </w:t>
      </w:r>
      <w:proofErr w:type="spellStart"/>
      <w:r w:rsidR="00294449">
        <w:t>Amal</w:t>
      </w:r>
      <w:r w:rsidR="00A62531">
        <w:t>a</w:t>
      </w:r>
      <w:r w:rsidR="00294449">
        <w:t>dass</w:t>
      </w:r>
      <w:proofErr w:type="spellEnd"/>
      <w:r w:rsidR="00294449">
        <w:t xml:space="preserve"> </w:t>
      </w:r>
      <w:r w:rsidR="00A62531">
        <w:t xml:space="preserve">and </w:t>
      </w:r>
      <w:proofErr w:type="spellStart"/>
      <w:r w:rsidR="00A62531">
        <w:t>Clooney</w:t>
      </w:r>
      <w:r w:rsidR="00294449">
        <w:t>have</w:t>
      </w:r>
      <w:proofErr w:type="spellEnd"/>
      <w:r w:rsidR="00294449">
        <w:t xml:space="preserve"> pointed out, </w:t>
      </w:r>
      <w:r w:rsidR="00FF72DE">
        <w:t>de</w:t>
      </w:r>
      <w:r w:rsidR="00294449">
        <w:t xml:space="preserve"> Nobili’</w:t>
      </w:r>
      <w:r w:rsidR="00FF72DE">
        <w:t>s argument for God used reasons found</w:t>
      </w:r>
      <w:r w:rsidR="00294449">
        <w:t xml:space="preserve"> </w:t>
      </w:r>
      <w:r w:rsidR="00B359EE">
        <w:t xml:space="preserve">in </w:t>
      </w:r>
      <w:r w:rsidR="00294449">
        <w:t>Thomas Aquinas</w:t>
      </w:r>
      <w:r w:rsidR="00FF72DE">
        <w:t>’s</w:t>
      </w:r>
      <w:r w:rsidR="00294449">
        <w:t xml:space="preserve"> </w:t>
      </w:r>
      <w:r w:rsidR="00294449">
        <w:rPr>
          <w:i/>
        </w:rPr>
        <w:t xml:space="preserve">Summa </w:t>
      </w:r>
      <w:proofErr w:type="spellStart"/>
      <w:r w:rsidR="00294449">
        <w:rPr>
          <w:i/>
        </w:rPr>
        <w:t>Theolig</w:t>
      </w:r>
      <w:r w:rsidR="00AE4CA5">
        <w:rPr>
          <w:i/>
        </w:rPr>
        <w:t>i</w:t>
      </w:r>
      <w:r w:rsidR="00294449">
        <w:rPr>
          <w:i/>
        </w:rPr>
        <w:t>cae</w:t>
      </w:r>
      <w:proofErr w:type="spellEnd"/>
      <w:r w:rsidR="00294449">
        <w:rPr>
          <w:i/>
        </w:rPr>
        <w:t xml:space="preserve"> </w:t>
      </w:r>
      <w:r w:rsidR="00294449">
        <w:t xml:space="preserve">and </w:t>
      </w:r>
      <w:r w:rsidR="00294449" w:rsidRPr="00294449">
        <w:rPr>
          <w:i/>
        </w:rPr>
        <w:t>Summa Contra Gentiles</w:t>
      </w:r>
      <w:r w:rsidR="00251C26">
        <w:t xml:space="preserve">. </w:t>
      </w:r>
      <w:r w:rsidR="00FF72DE">
        <w:t xml:space="preserve">In the </w:t>
      </w:r>
      <w:r w:rsidR="00FF72DE">
        <w:rPr>
          <w:i/>
        </w:rPr>
        <w:t>Report</w:t>
      </w:r>
      <w:r w:rsidR="00FF72DE">
        <w:t>,</w:t>
      </w:r>
      <w:r w:rsidR="00294449">
        <w:t xml:space="preserve"> de Nobili </w:t>
      </w:r>
      <w:r w:rsidR="00FF72DE">
        <w:t>also used</w:t>
      </w:r>
      <w:r w:rsidR="00B359EE">
        <w:t xml:space="preserve"> the structure of </w:t>
      </w:r>
      <w:r w:rsidR="00B359EE">
        <w:lastRenderedPageBreak/>
        <w:t>Aquinas’s</w:t>
      </w:r>
      <w:r w:rsidR="00294449">
        <w:t xml:space="preserve"> logical proofs. </w:t>
      </w:r>
      <w:r w:rsidR="00FF72DE">
        <w:t>According to Aquinas</w:t>
      </w:r>
      <w:r w:rsidR="009C79DE">
        <w:t xml:space="preserve">, “the order of demonstration” </w:t>
      </w:r>
      <w:r w:rsidR="00FF72DE">
        <w:t>always began</w:t>
      </w:r>
      <w:r w:rsidR="009C79DE">
        <w:t xml:space="preserve"> with what </w:t>
      </w:r>
      <w:r w:rsidR="00FF72DE">
        <w:t>wa</w:t>
      </w:r>
      <w:r w:rsidR="009C79DE">
        <w:t xml:space="preserve">s </w:t>
      </w:r>
      <w:r w:rsidR="00120FBE">
        <w:t xml:space="preserve">knowable by </w:t>
      </w:r>
      <w:r w:rsidR="009C79DE">
        <w:t>natur</w:t>
      </w:r>
      <w:r w:rsidR="00120FBE">
        <w:t>e</w:t>
      </w:r>
      <w:r w:rsidR="009C79DE">
        <w:t xml:space="preserve"> </w:t>
      </w:r>
      <w:r w:rsidR="00FF72DE">
        <w:t>and proceeded from there</w:t>
      </w:r>
      <w:r w:rsidR="009C79DE">
        <w:t xml:space="preserve"> to what</w:t>
      </w:r>
      <w:r w:rsidR="00FF72DE">
        <w:t xml:space="preserve"> was</w:t>
      </w:r>
      <w:r w:rsidR="00120FBE">
        <w:t xml:space="preserve"> more</w:t>
      </w:r>
      <w:r w:rsidR="00201F2D">
        <w:t xml:space="preserve"> obscure. This reasoning followed </w:t>
      </w:r>
      <w:r w:rsidR="00120FBE">
        <w:t>Aristotle</w:t>
      </w:r>
      <w:r w:rsidR="00B359EE">
        <w:t>’s</w:t>
      </w:r>
      <w:r w:rsidR="00120FBE">
        <w:t xml:space="preserve"> </w:t>
      </w:r>
      <w:r w:rsidR="00120FBE">
        <w:rPr>
          <w:i/>
        </w:rPr>
        <w:t>Physics</w:t>
      </w:r>
      <w:r w:rsidR="00FF72DE">
        <w:t xml:space="preserve"> and was </w:t>
      </w:r>
      <w:r w:rsidR="00371851">
        <w:t xml:space="preserve">adapted by </w:t>
      </w:r>
      <w:r w:rsidR="00120FBE">
        <w:t>Aquinas</w:t>
      </w:r>
      <w:r w:rsidR="00371851">
        <w:t xml:space="preserve"> in the </w:t>
      </w:r>
      <w:r w:rsidR="00371851">
        <w:rPr>
          <w:i/>
        </w:rPr>
        <w:t>Posterior Analytics</w:t>
      </w:r>
      <w:r w:rsidR="00FF72DE">
        <w:rPr>
          <w:i/>
        </w:rPr>
        <w:t xml:space="preserve"> </w:t>
      </w:r>
      <w:r w:rsidR="00FF72DE">
        <w:t xml:space="preserve">(see </w:t>
      </w:r>
      <w:r w:rsidR="00FF72DE">
        <w:rPr>
          <w:i/>
        </w:rPr>
        <w:t>Physics,</w:t>
      </w:r>
      <w:r w:rsidR="00FF72DE">
        <w:t xml:space="preserve"> 1,1; </w:t>
      </w:r>
      <w:r w:rsidR="00FF72DE" w:rsidRPr="00A33CAA">
        <w:rPr>
          <w:i/>
        </w:rPr>
        <w:t>Post. Anal</w:t>
      </w:r>
      <w:r w:rsidR="00FF72DE">
        <w:t>.</w:t>
      </w:r>
      <w:r w:rsidR="00FF72DE" w:rsidRPr="00A33CAA">
        <w:t xml:space="preserve">, lect. </w:t>
      </w:r>
      <w:proofErr w:type="spellStart"/>
      <w:r w:rsidR="00FF72DE" w:rsidRPr="00A33CAA">
        <w:t>i</w:t>
      </w:r>
      <w:proofErr w:type="spellEnd"/>
      <w:r w:rsidR="00FF72DE" w:rsidRPr="00A33CAA">
        <w:t>, Leonine ed., I, 138</w:t>
      </w:r>
      <w:r w:rsidR="00FF72DE">
        <w:t xml:space="preserve">). His </w:t>
      </w:r>
      <w:r w:rsidR="00371851">
        <w:rPr>
          <w:i/>
        </w:rPr>
        <w:t xml:space="preserve">Summa </w:t>
      </w:r>
      <w:proofErr w:type="spellStart"/>
      <w:r w:rsidR="00371851">
        <w:rPr>
          <w:i/>
        </w:rPr>
        <w:t>Theologicae</w:t>
      </w:r>
      <w:proofErr w:type="spellEnd"/>
      <w:r w:rsidR="00A33CAA">
        <w:rPr>
          <w:i/>
        </w:rPr>
        <w:t xml:space="preserve"> </w:t>
      </w:r>
      <w:r w:rsidR="00FF72DE">
        <w:t>followed this logic in setting out</w:t>
      </w:r>
      <w:r w:rsidR="00A33CAA">
        <w:t xml:space="preserve"> a demonstrable proof for the existence of God</w:t>
      </w:r>
      <w:r w:rsidR="00D921B9">
        <w:rPr>
          <w:i/>
        </w:rPr>
        <w:t xml:space="preserve"> </w:t>
      </w:r>
      <w:r w:rsidR="00FF72DE" w:rsidRPr="00FF72DE">
        <w:t>(</w:t>
      </w:r>
      <w:r w:rsidR="00A33CAA" w:rsidRPr="00FF72DE">
        <w:t>Ia.2.2)</w:t>
      </w:r>
      <w:r w:rsidR="00371851" w:rsidRPr="00FF72DE">
        <w:t>.</w:t>
      </w:r>
      <w:r w:rsidR="00A33CAA">
        <w:t xml:space="preserve"> </w:t>
      </w:r>
      <w:r w:rsidR="00D23AC2">
        <w:t>This movement from the natural and physical to the abstract, th</w:t>
      </w:r>
      <w:r w:rsidR="00294449">
        <w:t>e known to the unknown, explain</w:t>
      </w:r>
      <w:r w:rsidR="00B359EE">
        <w:t>s</w:t>
      </w:r>
      <w:r w:rsidR="00D23AC2">
        <w:t xml:space="preserve"> de Nobili’s fastidious attempt to develop an understanding of the distinction between social and religious practices by first setting out concrete descriptions of the different classes and their manifest differences. </w:t>
      </w:r>
      <w:r w:rsidR="00294449">
        <w:t>Despite seeming more like an anthropological account of Indian society, this gradual movement from description to</w:t>
      </w:r>
      <w:r w:rsidR="00667AB7">
        <w:t>wards</w:t>
      </w:r>
      <w:r w:rsidR="00294449">
        <w:t xml:space="preserve"> reason </w:t>
      </w:r>
      <w:r w:rsidR="00667AB7">
        <w:t>carried</w:t>
      </w:r>
      <w:r w:rsidR="00FF72DE">
        <w:t xml:space="preserve"> along</w:t>
      </w:r>
      <w:r w:rsidR="00251C26">
        <w:t xml:space="preserve"> the logic of the</w:t>
      </w:r>
      <w:r w:rsidR="00294449">
        <w:t xml:space="preserve"> </w:t>
      </w:r>
      <w:r w:rsidR="00294449">
        <w:rPr>
          <w:i/>
        </w:rPr>
        <w:t>Report</w:t>
      </w:r>
      <w:r w:rsidR="00294449">
        <w:t>’s</w:t>
      </w:r>
      <w:r w:rsidR="00FF72DE">
        <w:t xml:space="preserve"> superstructure and developed </w:t>
      </w:r>
      <w:r w:rsidR="00251C26">
        <w:t xml:space="preserve">reasonable </w:t>
      </w:r>
      <w:r w:rsidR="00FF72DE">
        <w:t>support for</w:t>
      </w:r>
      <w:r w:rsidR="00251C26">
        <w:t xml:space="preserve"> his methods of cultural accommodation. </w:t>
      </w:r>
      <w:r w:rsidR="00667AB7">
        <w:t xml:space="preserve">Furthermore, it </w:t>
      </w:r>
      <w:r w:rsidR="00BD09A0">
        <w:t>amounted</w:t>
      </w:r>
      <w:r w:rsidR="00251C26">
        <w:t xml:space="preserve"> to carefully crafted definitions</w:t>
      </w:r>
      <w:r w:rsidR="00667AB7">
        <w:t xml:space="preserve"> that were</w:t>
      </w:r>
      <w:r w:rsidR="00251C26">
        <w:t xml:space="preserve"> introductory without being elementary. </w:t>
      </w:r>
      <w:r w:rsidR="00F826F4">
        <w:t>The</w:t>
      </w:r>
      <w:r w:rsidR="00667AB7">
        <w:t>se definitions and natural descriptions</w:t>
      </w:r>
      <w:r w:rsidR="00F826F4">
        <w:t xml:space="preserve"> correct</w:t>
      </w:r>
      <w:r w:rsidR="00BD09A0">
        <w:t>ed</w:t>
      </w:r>
      <w:r w:rsidR="00F826F4">
        <w:t xml:space="preserve"> misinformation about Indian culture without directly identifying themselves as counterarguments. </w:t>
      </w:r>
    </w:p>
    <w:p w14:paraId="27E966E1" w14:textId="12A81A40" w:rsidR="007D3A81" w:rsidRPr="00E26B28" w:rsidRDefault="0071445A" w:rsidP="00294449">
      <w:pPr>
        <w:spacing w:after="0" w:line="480" w:lineRule="auto"/>
        <w:ind w:firstLine="720"/>
      </w:pPr>
      <w:r w:rsidRPr="00E26B28">
        <w:t xml:space="preserve">De Nobili </w:t>
      </w:r>
      <w:r w:rsidR="00260FC0" w:rsidRPr="00E26B28">
        <w:t xml:space="preserve">makes a turn here. He </w:t>
      </w:r>
      <w:r w:rsidR="00DF3839" w:rsidRPr="00E26B28">
        <w:t>begins to prioritize facts</w:t>
      </w:r>
      <w:r w:rsidR="007B7C76" w:rsidRPr="00E26B28">
        <w:t xml:space="preserve"> as Indian customs become an object of study. </w:t>
      </w:r>
      <w:r w:rsidR="00DF3839" w:rsidRPr="00E26B28">
        <w:t xml:space="preserve"> </w:t>
      </w:r>
      <w:r w:rsidR="007B7C76" w:rsidRPr="00E26B28">
        <w:t xml:space="preserve">This turn, however, </w:t>
      </w:r>
      <w:r w:rsidR="00B374D8" w:rsidRPr="00E26B28">
        <w:t xml:space="preserve">represents </w:t>
      </w:r>
      <w:r w:rsidR="0037616F" w:rsidRPr="00E26B28">
        <w:t>a direct response to his</w:t>
      </w:r>
      <w:r w:rsidR="00B374D8" w:rsidRPr="00E26B28">
        <w:t xml:space="preserve"> situation. </w:t>
      </w:r>
      <w:r w:rsidR="003B31C2" w:rsidRPr="00E26B28">
        <w:t xml:space="preserve">De Nobili failed to win the support of the General </w:t>
      </w:r>
      <w:proofErr w:type="spellStart"/>
      <w:r w:rsidR="003B31C2" w:rsidRPr="00E26B28">
        <w:t>Aquaviva</w:t>
      </w:r>
      <w:proofErr w:type="spellEnd"/>
      <w:r w:rsidR="003B31C2" w:rsidRPr="00E26B28">
        <w:t xml:space="preserve"> with his </w:t>
      </w:r>
      <w:r w:rsidR="003B31C2" w:rsidRPr="00E26B28">
        <w:rPr>
          <w:i/>
        </w:rPr>
        <w:t xml:space="preserve">Apologia </w:t>
      </w:r>
      <w:r w:rsidR="003B31C2" w:rsidRPr="00E26B28">
        <w:t xml:space="preserve">in 1610. Even though </w:t>
      </w:r>
      <w:proofErr w:type="spellStart"/>
      <w:r w:rsidR="003D25B9" w:rsidRPr="00E26B28">
        <w:t>Vico</w:t>
      </w:r>
      <w:proofErr w:type="spellEnd"/>
      <w:r w:rsidR="003D25B9" w:rsidRPr="00E26B28">
        <w:t xml:space="preserve"> and </w:t>
      </w:r>
      <w:proofErr w:type="spellStart"/>
      <w:r w:rsidR="003D25B9" w:rsidRPr="00E26B28">
        <w:t>Ros</w:t>
      </w:r>
      <w:proofErr w:type="spellEnd"/>
      <w:r w:rsidR="003D25B9" w:rsidRPr="00E26B28">
        <w:t xml:space="preserve"> </w:t>
      </w:r>
      <w:r w:rsidR="003B31C2" w:rsidRPr="00E26B28">
        <w:t>came to his defense</w:t>
      </w:r>
      <w:r w:rsidR="007B4A57" w:rsidRPr="00E26B28">
        <w:t xml:space="preserve">, </w:t>
      </w:r>
      <w:r w:rsidR="00686F06" w:rsidRPr="00E26B28">
        <w:t>the General has also received reports from Goa that cast doubt on de Nobili’s practices. T</w:t>
      </w:r>
      <w:r w:rsidR="00590301" w:rsidRPr="00E26B28">
        <w:t>he General’s letter</w:t>
      </w:r>
      <w:r w:rsidR="003D25B9" w:rsidRPr="00E26B28">
        <w:t xml:space="preserve"> censured de Nobili for dissimulation and ostentation</w:t>
      </w:r>
      <w:r w:rsidR="00A07D38" w:rsidRPr="00E26B28">
        <w:t xml:space="preserve"> and requested that </w:t>
      </w:r>
      <w:r w:rsidR="00686F06" w:rsidRPr="00E26B28">
        <w:t xml:space="preserve">he </w:t>
      </w:r>
      <w:r w:rsidR="008201DF" w:rsidRPr="00E26B28">
        <w:t xml:space="preserve">consult Archbishop </w:t>
      </w:r>
      <w:proofErr w:type="spellStart"/>
      <w:r w:rsidR="008201DF" w:rsidRPr="00E26B28">
        <w:t>Ros</w:t>
      </w:r>
      <w:proofErr w:type="spellEnd"/>
      <w:r w:rsidR="008201DF" w:rsidRPr="00E26B28">
        <w:t xml:space="preserve"> about the propriety of accom</w:t>
      </w:r>
      <w:r w:rsidR="00E26B28">
        <w:t>m</w:t>
      </w:r>
      <w:r w:rsidR="00E26B28" w:rsidRPr="00E26B28">
        <w:t>o</w:t>
      </w:r>
      <w:r w:rsidR="008201DF" w:rsidRPr="00E26B28">
        <w:t>dating social customs, like the</w:t>
      </w:r>
      <w:r w:rsidR="00A07D38" w:rsidRPr="00E26B28">
        <w:t xml:space="preserve"> caste thread, </w:t>
      </w:r>
      <w:proofErr w:type="spellStart"/>
      <w:r w:rsidR="0025077C">
        <w:rPr>
          <w:i/>
        </w:rPr>
        <w:t>kut</w:t>
      </w:r>
      <w:r w:rsidR="00E26B28">
        <w:rPr>
          <w:i/>
        </w:rPr>
        <w:t>umi</w:t>
      </w:r>
      <w:proofErr w:type="spellEnd"/>
      <w:r w:rsidR="00A07D38" w:rsidRPr="00E26B28">
        <w:t>, baths, and use of sandal paste</w:t>
      </w:r>
      <w:r w:rsidR="00686F06" w:rsidRPr="00E26B28">
        <w:t xml:space="preserve">. </w:t>
      </w:r>
      <w:proofErr w:type="spellStart"/>
      <w:r w:rsidR="00686F06" w:rsidRPr="00E26B28">
        <w:t>Vico</w:t>
      </w:r>
      <w:proofErr w:type="spellEnd"/>
      <w:r w:rsidR="00686F06" w:rsidRPr="00E26B28">
        <w:t xml:space="preserve"> and de Nobili responded to the letter at the request of the Provincial</w:t>
      </w:r>
      <w:r w:rsidR="007C34EA" w:rsidRPr="00E26B28">
        <w:t>,</w:t>
      </w:r>
      <w:r w:rsidR="008201DF" w:rsidRPr="00E26B28">
        <w:t xml:space="preserve"> Pero Francisco. Francisco read the letter as </w:t>
      </w:r>
      <w:r w:rsidR="00E26B28" w:rsidRPr="00E26B28">
        <w:t xml:space="preserve">condemning the mission, and he ordered de Nobili to stop baptisms and forbid converts from wearing the sandal </w:t>
      </w:r>
      <w:r w:rsidR="00E26B28" w:rsidRPr="00E26B28">
        <w:lastRenderedPageBreak/>
        <w:t xml:space="preserve">paste, thread, and </w:t>
      </w:r>
      <w:proofErr w:type="spellStart"/>
      <w:r w:rsidR="0025077C">
        <w:rPr>
          <w:i/>
        </w:rPr>
        <w:t>kut</w:t>
      </w:r>
      <w:r w:rsidR="00E26B28" w:rsidRPr="00E26B28">
        <w:rPr>
          <w:i/>
        </w:rPr>
        <w:t>umi</w:t>
      </w:r>
      <w:proofErr w:type="spellEnd"/>
      <w:r w:rsidR="00E26B28" w:rsidRPr="00E26B28">
        <w:t>.</w:t>
      </w:r>
      <w:r w:rsidR="007C34EA" w:rsidRPr="00E26B28">
        <w:t xml:space="preserve"> </w:t>
      </w:r>
      <w:r w:rsidR="00CC3E72" w:rsidRPr="00E26B28">
        <w:t xml:space="preserve">Archbishop </w:t>
      </w:r>
      <w:proofErr w:type="spellStart"/>
      <w:r w:rsidR="00CC3E72" w:rsidRPr="00E26B28">
        <w:t>Ros</w:t>
      </w:r>
      <w:proofErr w:type="spellEnd"/>
      <w:r w:rsidR="00CC3E72" w:rsidRPr="00E26B28">
        <w:t xml:space="preserve"> also sent his own letter to </w:t>
      </w:r>
      <w:proofErr w:type="spellStart"/>
      <w:r w:rsidR="00CC3E72" w:rsidRPr="00E26B28">
        <w:t>Aquaviva</w:t>
      </w:r>
      <w:proofErr w:type="spellEnd"/>
      <w:r w:rsidR="00CC3E72" w:rsidRPr="00E26B28">
        <w:t xml:space="preserve"> in a long defense of de Nobili’s character and</w:t>
      </w:r>
      <w:r w:rsidR="00E26B28" w:rsidRPr="00E26B28">
        <w:t xml:space="preserve"> denouncing Francisco’s conspiracy against the mission. And because of the confusion over social customs—represented in </w:t>
      </w:r>
      <w:proofErr w:type="spellStart"/>
      <w:r w:rsidR="00E26B28" w:rsidRPr="00E26B28">
        <w:t>Aquaviva’s</w:t>
      </w:r>
      <w:proofErr w:type="spellEnd"/>
      <w:r w:rsidR="00E26B28" w:rsidRPr="00E26B28">
        <w:t xml:space="preserve"> response as well as Francisco’s accusations—</w:t>
      </w:r>
      <w:proofErr w:type="spellStart"/>
      <w:r w:rsidR="00E26B28" w:rsidRPr="00E26B28">
        <w:t>Ros</w:t>
      </w:r>
      <w:proofErr w:type="spellEnd"/>
      <w:r w:rsidR="00E26B28" w:rsidRPr="00E26B28">
        <w:t xml:space="preserve"> encloses de Nobili’s treatise on social customs</w:t>
      </w:r>
      <w:r w:rsidR="00E26B28">
        <w:t xml:space="preserve"> (247)</w:t>
      </w:r>
      <w:r w:rsidR="00E26B28" w:rsidRPr="00E26B28">
        <w:t xml:space="preserve">. While </w:t>
      </w:r>
      <w:proofErr w:type="spellStart"/>
      <w:r w:rsidR="00E26B28" w:rsidRPr="00E26B28">
        <w:t>Aquaviva</w:t>
      </w:r>
      <w:proofErr w:type="spellEnd"/>
      <w:r w:rsidR="00E26B28" w:rsidRPr="00E26B28">
        <w:t xml:space="preserve"> most likely died before the letter and report ever reached him in 1615, the many exchanges that took place in 1613 demonstrate clear confusion surrounding de Nobili’s mission.</w:t>
      </w:r>
      <w:r w:rsidR="00E26B28">
        <w:t xml:space="preserve"> Thus</w:t>
      </w:r>
      <w:r w:rsidR="00E26B28" w:rsidRPr="00E26B28">
        <w:t>, w</w:t>
      </w:r>
      <w:r w:rsidR="006A540E" w:rsidRPr="00E26B28">
        <w:t xml:space="preserve">hile </w:t>
      </w:r>
      <w:r w:rsidR="00E26B28">
        <w:t xml:space="preserve">the </w:t>
      </w:r>
      <w:r w:rsidR="00E26B28">
        <w:rPr>
          <w:i/>
        </w:rPr>
        <w:t>Report</w:t>
      </w:r>
      <w:r w:rsidR="006A540E" w:rsidRPr="00E26B28">
        <w:t xml:space="preserve"> could be read as an objective</w:t>
      </w:r>
      <w:r w:rsidR="00E26B28">
        <w:t>, anthropological</w:t>
      </w:r>
      <w:r w:rsidR="006A540E" w:rsidRPr="00E26B28">
        <w:t xml:space="preserve"> account of India, it isn’t meant as such. Instead, </w:t>
      </w:r>
      <w:r w:rsidR="00E26B28">
        <w:t>d</w:t>
      </w:r>
      <w:r w:rsidR="007C4762" w:rsidRPr="00E26B28">
        <w:t>e Nobili</w:t>
      </w:r>
      <w:r w:rsidR="006A540E" w:rsidRPr="00E26B28">
        <w:t xml:space="preserve"> is responding to direct questions about Indian cultural practices. </w:t>
      </w:r>
    </w:p>
    <w:p w14:paraId="70ABA424" w14:textId="256DB04A" w:rsidR="006A540E" w:rsidRDefault="00251C26" w:rsidP="00740EA7">
      <w:pPr>
        <w:spacing w:after="0" w:line="480" w:lineRule="auto"/>
      </w:pPr>
      <w:r>
        <w:tab/>
      </w:r>
      <w:r w:rsidR="00824798">
        <w:t>De Nobili brought the different traditions together in other ways</w:t>
      </w:r>
      <w:r w:rsidR="00824798" w:rsidRPr="003D1D5E">
        <w:t xml:space="preserve">. </w:t>
      </w:r>
      <w:r w:rsidR="001C56E4">
        <w:t>H</w:t>
      </w:r>
      <w:r w:rsidR="003D1D5E">
        <w:t>e used</w:t>
      </w:r>
      <w:r>
        <w:t xml:space="preserve"> Western sources to explain Indian traditions</w:t>
      </w:r>
      <w:r w:rsidR="003D1D5E">
        <w:t xml:space="preserve"> and qualified</w:t>
      </w:r>
      <w:r>
        <w:t xml:space="preserve"> Western ideas with Indian sources. In his explanation of the Brahmin dress as a social</w:t>
      </w:r>
      <w:r w:rsidR="003D1D5E">
        <w:t xml:space="preserve"> custom, for instance, he proved</w:t>
      </w:r>
      <w:r>
        <w:t xml:space="preserve"> his argument first by citing the testimony of western writers and then by explaining the social significance of Brahmin dress through</w:t>
      </w:r>
      <w:r w:rsidR="00D971FF">
        <w:t xml:space="preserve"> its use. In this case, he cited</w:t>
      </w:r>
      <w:r>
        <w:t xml:space="preserve"> </w:t>
      </w:r>
      <w:r w:rsidR="00970677">
        <w:t>the</w:t>
      </w:r>
      <w:r>
        <w:t xml:space="preserve"> Brahmin inve</w:t>
      </w:r>
      <w:r w:rsidR="00970677">
        <w:t>stiture ceremony and supplemented</w:t>
      </w:r>
      <w:r>
        <w:t xml:space="preserve"> this description with an excerpt from the </w:t>
      </w:r>
      <w:r>
        <w:rPr>
          <w:i/>
        </w:rPr>
        <w:t>Laws of Manu</w:t>
      </w:r>
      <w:r>
        <w:t xml:space="preserve">. </w:t>
      </w:r>
      <w:r w:rsidR="00970677">
        <w:t>H</w:t>
      </w:r>
      <w:r w:rsidR="00D971FF">
        <w:t>e</w:t>
      </w:r>
      <w:r w:rsidR="00970677">
        <w:t xml:space="preserve"> also</w:t>
      </w:r>
      <w:r w:rsidR="00D971FF">
        <w:t xml:space="preserve"> cited</w:t>
      </w:r>
      <w:r>
        <w:t xml:space="preserve"> th</w:t>
      </w:r>
      <w:r w:rsidR="00805826">
        <w:t xml:space="preserve">e work of Strabo, </w:t>
      </w:r>
      <w:proofErr w:type="spellStart"/>
      <w:r>
        <w:t>Megasthenes</w:t>
      </w:r>
      <w:proofErr w:type="spellEnd"/>
      <w:r>
        <w:t xml:space="preserve">, </w:t>
      </w:r>
      <w:proofErr w:type="spellStart"/>
      <w:r>
        <w:t>Nearcus</w:t>
      </w:r>
      <w:proofErr w:type="spellEnd"/>
      <w:r>
        <w:t xml:space="preserve">, </w:t>
      </w:r>
      <w:proofErr w:type="spellStart"/>
      <w:r>
        <w:t>C</w:t>
      </w:r>
      <w:r w:rsidR="00805826">
        <w:t>litarus</w:t>
      </w:r>
      <w:proofErr w:type="spellEnd"/>
      <w:r w:rsidR="00805826">
        <w:t xml:space="preserve">, and </w:t>
      </w:r>
      <w:proofErr w:type="spellStart"/>
      <w:r w:rsidR="00805826">
        <w:t>Coelius</w:t>
      </w:r>
      <w:proofErr w:type="spellEnd"/>
      <w:r w:rsidR="00805826">
        <w:t xml:space="preserve"> of Rhodes</w:t>
      </w:r>
      <w:r>
        <w:t xml:space="preserve">. </w:t>
      </w:r>
      <w:r w:rsidR="00006A80">
        <w:t xml:space="preserve">The </w:t>
      </w:r>
      <w:r w:rsidR="00006A80">
        <w:rPr>
          <w:i/>
        </w:rPr>
        <w:t>Laws of Manu</w:t>
      </w:r>
      <w:r w:rsidR="00006A80">
        <w:t xml:space="preserve"> </w:t>
      </w:r>
      <w:r w:rsidR="00970677">
        <w:t>and these Western sources</w:t>
      </w:r>
      <w:r w:rsidR="00006A80">
        <w:t xml:space="preserve"> take on the same authority as important reference points for understanding culture and belief. De Nobili</w:t>
      </w:r>
      <w:r w:rsidR="00D971FF">
        <w:t xml:space="preserve"> provided</w:t>
      </w:r>
      <w:r w:rsidR="00006A80">
        <w:t xml:space="preserve"> a way for readers </w:t>
      </w:r>
      <w:r w:rsidR="00970677">
        <w:t xml:space="preserve">to </w:t>
      </w:r>
      <w:r w:rsidR="002A5E8C">
        <w:t xml:space="preserve">value </w:t>
      </w:r>
      <w:r w:rsidR="00006A80">
        <w:t xml:space="preserve">both intellectual traditions </w:t>
      </w:r>
      <w:r w:rsidR="00D971FF">
        <w:t>by presenting</w:t>
      </w:r>
      <w:r w:rsidR="00006A80">
        <w:t xml:space="preserve"> one alongside and in addition to the other. </w:t>
      </w:r>
      <w:r w:rsidR="00393481">
        <w:t>This was</w:t>
      </w:r>
      <w:r w:rsidR="00970677">
        <w:t xml:space="preserve"> central to</w:t>
      </w:r>
      <w:r w:rsidR="00393481">
        <w:t xml:space="preserve"> de Nobili’s response to accusations against him</w:t>
      </w:r>
      <w:r w:rsidR="006F3FFB">
        <w:t xml:space="preserve">—he needed to show he knew what he was </w:t>
      </w:r>
      <w:r w:rsidR="00740EA7">
        <w:t>talking about</w:t>
      </w:r>
      <w:r w:rsidR="00393481">
        <w:t>.</w:t>
      </w:r>
      <w:r w:rsidR="00740EA7">
        <w:t xml:space="preserve"> He also needed to show that he knew what he was doing.</w:t>
      </w:r>
      <w:r w:rsidR="00393481">
        <w:t xml:space="preserve"> De Nobili attacked the authority of common perception by providing both the internal and external evidence to prove it. </w:t>
      </w:r>
    </w:p>
    <w:p w14:paraId="39F19A67" w14:textId="299EE714" w:rsidR="00ED0766" w:rsidRDefault="00ED0766" w:rsidP="00F55E64">
      <w:pPr>
        <w:spacing w:after="0" w:line="480" w:lineRule="auto"/>
        <w:ind w:firstLine="720"/>
      </w:pPr>
      <w:r>
        <w:lastRenderedPageBreak/>
        <w:t xml:space="preserve">In </w:t>
      </w:r>
      <w:r w:rsidR="000B08B7">
        <w:t>using these texts, he wa</w:t>
      </w:r>
      <w:r>
        <w:t>s caref</w:t>
      </w:r>
      <w:r w:rsidR="000B08B7">
        <w:t xml:space="preserve">ul to provide </w:t>
      </w:r>
      <w:r>
        <w:t>translation</w:t>
      </w:r>
      <w:r w:rsidR="000B08B7">
        <w:t>s</w:t>
      </w:r>
      <w:r w:rsidR="006F3FFB">
        <w:t xml:space="preserve"> and contextualize</w:t>
      </w:r>
      <w:r w:rsidR="0074313C">
        <w:t xml:space="preserve"> Sanskrit terms</w:t>
      </w:r>
      <w:r>
        <w:t>.</w:t>
      </w:r>
      <w:r w:rsidR="0074313C">
        <w:t xml:space="preserve"> </w:t>
      </w:r>
      <w:r w:rsidR="000B08B7">
        <w:t>I</w:t>
      </w:r>
      <w:r>
        <w:t xml:space="preserve">n one last reference to the </w:t>
      </w:r>
      <w:r>
        <w:rPr>
          <w:i/>
        </w:rPr>
        <w:t>Laws of Manu</w:t>
      </w:r>
      <w:r w:rsidR="000B08B7">
        <w:t xml:space="preserve">, for instance, he </w:t>
      </w:r>
      <w:r>
        <w:t>provide</w:t>
      </w:r>
      <w:r w:rsidR="000B08B7">
        <w:t>d</w:t>
      </w:r>
      <w:r>
        <w:t xml:space="preserve"> a detailed explanation of the </w:t>
      </w:r>
      <w:proofErr w:type="spellStart"/>
      <w:r>
        <w:rPr>
          <w:i/>
        </w:rPr>
        <w:t>Smriti</w:t>
      </w:r>
      <w:proofErr w:type="spellEnd"/>
      <w:r>
        <w:t xml:space="preserve"> civil </w:t>
      </w:r>
      <w:proofErr w:type="spellStart"/>
      <w:r>
        <w:t>lawbook’s</w:t>
      </w:r>
      <w:proofErr w:type="spellEnd"/>
      <w:r>
        <w:t xml:space="preserve"> prescription of dress</w:t>
      </w:r>
      <w:r w:rsidR="006F3FFB">
        <w:t xml:space="preserve"> with a translation</w:t>
      </w:r>
      <w:r w:rsidR="000B08B7">
        <w:t>. He wrote</w:t>
      </w:r>
      <w:r>
        <w:t xml:space="preserve">: </w:t>
      </w:r>
    </w:p>
    <w:p w14:paraId="04BD3844" w14:textId="14C87BC5" w:rsidR="00ED0766" w:rsidRDefault="00ED0766" w:rsidP="000B08B7">
      <w:pPr>
        <w:spacing w:after="0" w:line="480" w:lineRule="auto"/>
        <w:ind w:left="1440"/>
      </w:pPr>
      <w:r>
        <w:t xml:space="preserve">Mark carefully that the words in the first text quoted above the author does not say, </w:t>
      </w:r>
      <w:proofErr w:type="spellStart"/>
      <w:r>
        <w:rPr>
          <w:i/>
        </w:rPr>
        <w:t>nabhivyaharayed</w:t>
      </w:r>
      <w:proofErr w:type="spellEnd"/>
      <w:r>
        <w:rPr>
          <w:i/>
        </w:rPr>
        <w:t xml:space="preserve"> Brahmana </w:t>
      </w:r>
      <w:proofErr w:type="spellStart"/>
      <w:r>
        <w:rPr>
          <w:i/>
        </w:rPr>
        <w:t>svadhani</w:t>
      </w:r>
      <w:proofErr w:type="spellEnd"/>
      <w:r>
        <w:t xml:space="preserve">, i.e., ‘Let him beware encroaching upon the office of a Brahmin.’ Rather he says, </w:t>
      </w:r>
      <w:proofErr w:type="spellStart"/>
      <w:r>
        <w:rPr>
          <w:i/>
        </w:rPr>
        <w:t>nabhivyaharayed</w:t>
      </w:r>
      <w:proofErr w:type="spellEnd"/>
      <w:r>
        <w:rPr>
          <w:i/>
        </w:rPr>
        <w:t xml:space="preserve"> brahma </w:t>
      </w:r>
      <w:proofErr w:type="spellStart"/>
      <w:r>
        <w:rPr>
          <w:i/>
        </w:rPr>
        <w:t>svadhani</w:t>
      </w:r>
      <w:proofErr w:type="spellEnd"/>
      <w:r>
        <w:rPr>
          <w:i/>
        </w:rPr>
        <w:t xml:space="preserve"> </w:t>
      </w:r>
      <w:r>
        <w:t xml:space="preserve">(2.172), i.e., ‘Let him beware entering upon the office of wisdom.’ </w:t>
      </w:r>
      <w:r>
        <w:rPr>
          <w:i/>
        </w:rPr>
        <w:t xml:space="preserve">Brahmana </w:t>
      </w:r>
      <w:r>
        <w:t xml:space="preserve">signifies “a </w:t>
      </w:r>
      <w:proofErr w:type="spellStart"/>
      <w:r>
        <w:t>brahmin</w:t>
      </w:r>
      <w:proofErr w:type="spellEnd"/>
      <w:r>
        <w:t>” whereas</w:t>
      </w:r>
      <w:r>
        <w:rPr>
          <w:i/>
        </w:rPr>
        <w:t xml:space="preserve"> brahma</w:t>
      </w:r>
      <w:r>
        <w:t xml:space="preserve"> means wisdom.</w:t>
      </w:r>
      <w:r w:rsidR="00B72520">
        <w:t xml:space="preserve"> (151)</w:t>
      </w:r>
    </w:p>
    <w:p w14:paraId="55224A8D" w14:textId="209F142D" w:rsidR="007D3A81" w:rsidRPr="00200495" w:rsidRDefault="00ED0766" w:rsidP="001C56E4">
      <w:pPr>
        <w:spacing w:after="0" w:line="480" w:lineRule="auto"/>
      </w:pPr>
      <w:r>
        <w:t xml:space="preserve">De Nobili </w:t>
      </w:r>
      <w:r w:rsidR="0074313C">
        <w:t>tried</w:t>
      </w:r>
      <w:r w:rsidR="000B08B7">
        <w:t xml:space="preserve"> to show philological precision</w:t>
      </w:r>
      <w:r>
        <w:t xml:space="preserve">. </w:t>
      </w:r>
      <w:r w:rsidR="000B08B7">
        <w:t>Philology constituted part of the argument he was trying to make. Part of his case depended on connecting</w:t>
      </w:r>
      <w:r>
        <w:t xml:space="preserve"> the Sanskrit word for knowledge “</w:t>
      </w:r>
      <w:r>
        <w:rPr>
          <w:i/>
        </w:rPr>
        <w:t>brahma</w:t>
      </w:r>
      <w:r w:rsidR="000B08B7">
        <w:t>” with</w:t>
      </w:r>
      <w:r>
        <w:t xml:space="preserve"> “</w:t>
      </w:r>
      <w:r w:rsidR="000B08B7">
        <w:rPr>
          <w:i/>
        </w:rPr>
        <w:t>Brahmin</w:t>
      </w:r>
      <w:r>
        <w:t>”</w:t>
      </w:r>
      <w:r w:rsidR="000B08B7">
        <w:t>; this was supposed to demonstrate</w:t>
      </w:r>
      <w:r w:rsidR="0074313C">
        <w:t xml:space="preserve"> Brahmins were intellectuals rather than priests. </w:t>
      </w:r>
      <w:r>
        <w:t xml:space="preserve">At </w:t>
      </w:r>
      <w:r w:rsidR="0074313C">
        <w:t>the same time, his argument did</w:t>
      </w:r>
      <w:r>
        <w:t xml:space="preserve"> not </w:t>
      </w:r>
      <w:r w:rsidR="0074313C">
        <w:t xml:space="preserve">wholly </w:t>
      </w:r>
      <w:r>
        <w:t xml:space="preserve">depend </w:t>
      </w:r>
      <w:r w:rsidR="0074313C">
        <w:t>up</w:t>
      </w:r>
      <w:r>
        <w:t>o</w:t>
      </w:r>
      <w:r w:rsidR="0074313C">
        <w:t xml:space="preserve">n translation. </w:t>
      </w:r>
      <w:r w:rsidR="00A95FE8" w:rsidRPr="00DD181A">
        <w:t>Social practice grounded his argument and his references.</w:t>
      </w:r>
      <w:r w:rsidR="00A95FE8">
        <w:t xml:space="preserve"> </w:t>
      </w:r>
      <w:r w:rsidR="0074313C">
        <w:t>His goal wa</w:t>
      </w:r>
      <w:r>
        <w:t>s not the mer</w:t>
      </w:r>
      <w:r w:rsidR="0074313C">
        <w:t xml:space="preserve">e translation of foreign words. </w:t>
      </w:r>
      <w:r>
        <w:t xml:space="preserve">He </w:t>
      </w:r>
      <w:r w:rsidR="0074313C">
        <w:t>provide</w:t>
      </w:r>
      <w:r w:rsidR="006F3FFB">
        <w:t>d</w:t>
      </w:r>
      <w:r>
        <w:t xml:space="preserve"> </w:t>
      </w:r>
      <w:r w:rsidR="006F3FFB">
        <w:t>his own</w:t>
      </w:r>
      <w:r>
        <w:t xml:space="preserve"> translation</w:t>
      </w:r>
      <w:r w:rsidR="006F3FFB">
        <w:t>s</w:t>
      </w:r>
      <w:r w:rsidR="0074313C">
        <w:t xml:space="preserve"> </w:t>
      </w:r>
      <w:r w:rsidR="001C56E4">
        <w:t xml:space="preserve">contextualized these translations within their usage. </w:t>
      </w:r>
      <w:r w:rsidR="0074313C" w:rsidRPr="00DD181A">
        <w:t>D</w:t>
      </w:r>
      <w:r w:rsidRPr="00DD181A">
        <w:t xml:space="preserve">e Nobili used these kinds of texts alongside his understanding of common practice. </w:t>
      </w:r>
      <w:r w:rsidR="001C56E4">
        <w:t>T</w:t>
      </w:r>
      <w:r>
        <w:t>o d</w:t>
      </w:r>
      <w:r w:rsidR="001C56E4">
        <w:t>evelop his claim that Brahmins we</w:t>
      </w:r>
      <w:r>
        <w:t xml:space="preserve">re not </w:t>
      </w:r>
      <w:r w:rsidR="00DD181A">
        <w:t>a class of priests, he described</w:t>
      </w:r>
      <w:r>
        <w:t xml:space="preserve"> the investiture ceremony that initiated Brahmin</w:t>
      </w:r>
      <w:r w:rsidR="00DD181A">
        <w:t>s</w:t>
      </w:r>
      <w:r w:rsidR="006F3FFB">
        <w:t>,</w:t>
      </w:r>
      <w:r>
        <w:t xml:space="preserve"> as recorded in the</w:t>
      </w:r>
      <w:r w:rsidR="00251C26">
        <w:t xml:space="preserve"> </w:t>
      </w:r>
      <w:proofErr w:type="spellStart"/>
      <w:r w:rsidR="00251C26">
        <w:rPr>
          <w:i/>
        </w:rPr>
        <w:t>Àpastamba</w:t>
      </w:r>
      <w:proofErr w:type="spellEnd"/>
      <w:r w:rsidR="00251C26">
        <w:rPr>
          <w:i/>
        </w:rPr>
        <w:t xml:space="preserve"> Sutra. </w:t>
      </w:r>
      <w:r>
        <w:t>He outlined “the very formula used at the initiation ceremony” and then quoted</w:t>
      </w:r>
      <w:r w:rsidR="00251C26">
        <w:t xml:space="preserve"> a common proverb “</w:t>
      </w:r>
      <w:proofErr w:type="spellStart"/>
      <w:r w:rsidR="00251C26">
        <w:rPr>
          <w:i/>
        </w:rPr>
        <w:t>janman</w:t>
      </w:r>
      <w:proofErr w:type="spellEnd"/>
      <w:r w:rsidR="00251C26">
        <w:rPr>
          <w:i/>
        </w:rPr>
        <w:t xml:space="preserve"> </w:t>
      </w:r>
      <w:proofErr w:type="spellStart"/>
      <w:r w:rsidR="00251C26">
        <w:rPr>
          <w:i/>
        </w:rPr>
        <w:t>jayate</w:t>
      </w:r>
      <w:proofErr w:type="spellEnd"/>
      <w:r w:rsidR="00251C26">
        <w:rPr>
          <w:i/>
        </w:rPr>
        <w:t xml:space="preserve"> </w:t>
      </w:r>
      <w:proofErr w:type="spellStart"/>
      <w:r w:rsidR="00251C26">
        <w:rPr>
          <w:i/>
        </w:rPr>
        <w:t>shudrah</w:t>
      </w:r>
      <w:proofErr w:type="spellEnd"/>
      <w:r w:rsidR="00251C26">
        <w:rPr>
          <w:i/>
        </w:rPr>
        <w:t xml:space="preserve">, </w:t>
      </w:r>
      <w:proofErr w:type="spellStart"/>
      <w:r w:rsidR="00251C26">
        <w:rPr>
          <w:i/>
        </w:rPr>
        <w:t>karmana</w:t>
      </w:r>
      <w:proofErr w:type="spellEnd"/>
      <w:r w:rsidR="00251C26">
        <w:rPr>
          <w:i/>
        </w:rPr>
        <w:t xml:space="preserve"> </w:t>
      </w:r>
      <w:proofErr w:type="spellStart"/>
      <w:r w:rsidR="00251C26">
        <w:rPr>
          <w:i/>
        </w:rPr>
        <w:t>jayate</w:t>
      </w:r>
      <w:proofErr w:type="spellEnd"/>
      <w:r w:rsidR="00251C26">
        <w:rPr>
          <w:i/>
        </w:rPr>
        <w:t xml:space="preserve"> </w:t>
      </w:r>
      <w:proofErr w:type="spellStart"/>
      <w:r w:rsidR="00251C26">
        <w:rPr>
          <w:i/>
        </w:rPr>
        <w:t>dvijah</w:t>
      </w:r>
      <w:proofErr w:type="spellEnd"/>
      <w:r w:rsidR="00251C26">
        <w:t xml:space="preserve">” </w:t>
      </w:r>
      <w:r>
        <w:t xml:space="preserve">with a </w:t>
      </w:r>
      <w:r w:rsidR="00251C26">
        <w:t>translation</w:t>
      </w:r>
      <w:r w:rsidR="006F3FFB">
        <w:t xml:space="preserve"> again</w:t>
      </w:r>
      <w:r w:rsidR="00251C26">
        <w:t xml:space="preserve">, “i.e., ‘By birth he is born a plebeian; by the investiture of the thread he is born a </w:t>
      </w:r>
      <w:proofErr w:type="spellStart"/>
      <w:r w:rsidR="00251C26">
        <w:t>brahmin</w:t>
      </w:r>
      <w:proofErr w:type="spellEnd"/>
      <w:r w:rsidR="00251C26">
        <w:t xml:space="preserve">’” (150). </w:t>
      </w:r>
      <w:r w:rsidR="001C56E4">
        <w:t xml:space="preserve">His textual references </w:t>
      </w:r>
      <w:r w:rsidR="00251C26">
        <w:t>supplement</w:t>
      </w:r>
      <w:r w:rsidR="001C56E4">
        <w:t>ed</w:t>
      </w:r>
      <w:r w:rsidR="00251C26">
        <w:t xml:space="preserve"> and interpret</w:t>
      </w:r>
      <w:r w:rsidR="001C56E4">
        <w:t>ed</w:t>
      </w:r>
      <w:r w:rsidR="00251C26">
        <w:t xml:space="preserve"> </w:t>
      </w:r>
      <w:r>
        <w:t>practice.</w:t>
      </w:r>
      <w:r w:rsidR="001C56E4">
        <w:t xml:space="preserve"> </w:t>
      </w:r>
      <w:r w:rsidR="00A013D5">
        <w:t xml:space="preserve">While de Nobili’s argument followed </w:t>
      </w:r>
      <w:proofErr w:type="spellStart"/>
      <w:r w:rsidR="00A013D5">
        <w:t>Thomistic</w:t>
      </w:r>
      <w:proofErr w:type="spellEnd"/>
      <w:r w:rsidR="00A013D5">
        <w:t xml:space="preserve"> logic and relied heavily on the careful use of both Western and Indian sources, his defense pointed towards action—that which seemed to lay beyond the text. </w:t>
      </w:r>
      <w:r w:rsidR="001C56E4">
        <w:t xml:space="preserve">And with this, </w:t>
      </w:r>
      <w:r w:rsidR="006F3FFB">
        <w:t xml:space="preserve">he </w:t>
      </w:r>
      <w:r w:rsidR="001C56E4">
        <w:t>concluded that he had</w:t>
      </w:r>
      <w:r w:rsidR="00DD181A">
        <w:t xml:space="preserve"> </w:t>
      </w:r>
      <w:r w:rsidR="001C56E4">
        <w:t>“</w:t>
      </w:r>
      <w:r w:rsidR="00251C26" w:rsidRPr="00DD181A">
        <w:t xml:space="preserve">proved the </w:t>
      </w:r>
      <w:r w:rsidR="00251C26" w:rsidRPr="00DD181A">
        <w:lastRenderedPageBreak/>
        <w:t xml:space="preserve">conclusion of our syllogism, namely, that the caste thread is the badge of office of a man of learning, of his right, i.e., his birthright, for the teaching of wisdom” (151). </w:t>
      </w:r>
      <w:r w:rsidR="00200495">
        <w:t xml:space="preserve">De Nobili was accused of subversive </w:t>
      </w:r>
      <w:r w:rsidR="00200495" w:rsidRPr="006F3FFB">
        <w:rPr>
          <w:i/>
        </w:rPr>
        <w:t>action</w:t>
      </w:r>
      <w:r w:rsidR="006F3FFB" w:rsidRPr="006F3FFB">
        <w:rPr>
          <w:i/>
        </w:rPr>
        <w:t>s</w:t>
      </w:r>
      <w:r w:rsidR="00200495">
        <w:t>, and</w:t>
      </w:r>
      <w:r w:rsidR="006F3FFB">
        <w:t xml:space="preserve"> more than just defending the merits of his mission,</w:t>
      </w:r>
      <w:r w:rsidR="00200495">
        <w:t xml:space="preserve"> his </w:t>
      </w:r>
      <w:r w:rsidR="00200495">
        <w:rPr>
          <w:i/>
        </w:rPr>
        <w:t xml:space="preserve">Report </w:t>
      </w:r>
      <w:r w:rsidR="006F3FFB">
        <w:t xml:space="preserve">also carried the spirit of his mission. Within the text, he also reproduced his belief in </w:t>
      </w:r>
      <w:r w:rsidR="00200495">
        <w:t>th</w:t>
      </w:r>
      <w:r w:rsidR="006F3FFB">
        <w:t xml:space="preserve">e embodied practice of religion, </w:t>
      </w:r>
      <w:r w:rsidR="00200495">
        <w:t xml:space="preserve">within and against culture. </w:t>
      </w:r>
    </w:p>
    <w:p w14:paraId="4F2FD28D" w14:textId="2C8DDEDE" w:rsidR="00234050" w:rsidRDefault="00234050" w:rsidP="006D7CAF">
      <w:pPr>
        <w:spacing w:after="0" w:line="480" w:lineRule="auto"/>
        <w:ind w:firstLine="720"/>
      </w:pPr>
      <w:r>
        <w:t xml:space="preserve">De Nobili concluded the text by making a final case for </w:t>
      </w:r>
      <w:r w:rsidR="006F3FFB">
        <w:t xml:space="preserve">cultural </w:t>
      </w:r>
      <w:r>
        <w:t>adaptation, distinguishing</w:t>
      </w:r>
      <w:r w:rsidR="006F3FFB">
        <w:t xml:space="preserve"> Christian</w:t>
      </w:r>
      <w:r>
        <w:t xml:space="preserve"> action through intent. </w:t>
      </w:r>
      <w:r w:rsidR="006F3FFB">
        <w:t xml:space="preserve">De Nobili admitted that there were Indian customs that had no relation to civil or social value and instead had an exclusively religious purpose. </w:t>
      </w:r>
      <w:r w:rsidR="00200495">
        <w:t>For him, t</w:t>
      </w:r>
      <w:r w:rsidR="00251C26">
        <w:t xml:space="preserve">he </w:t>
      </w:r>
      <w:proofErr w:type="spellStart"/>
      <w:r w:rsidR="00251C26">
        <w:rPr>
          <w:i/>
        </w:rPr>
        <w:t>namam</w:t>
      </w:r>
      <w:proofErr w:type="spellEnd"/>
      <w:r w:rsidR="00251C26">
        <w:t xml:space="preserve">, the symbol of Vishnu, and the </w:t>
      </w:r>
      <w:proofErr w:type="spellStart"/>
      <w:r w:rsidR="00251C26">
        <w:rPr>
          <w:i/>
        </w:rPr>
        <w:t>shobhacandanam</w:t>
      </w:r>
      <w:proofErr w:type="spellEnd"/>
      <w:r w:rsidR="00200495">
        <w:t>, the symbol of Krishna, we</w:t>
      </w:r>
      <w:r w:rsidR="006F3FFB">
        <w:t>re examples of religious</w:t>
      </w:r>
      <w:r w:rsidR="00251C26">
        <w:t xml:space="preserve"> practice</w:t>
      </w:r>
      <w:r w:rsidR="006F3FFB">
        <w:t>s</w:t>
      </w:r>
      <w:r w:rsidR="00251C26">
        <w:t xml:space="preserve"> in Indian society. In contrast, </w:t>
      </w:r>
      <w:r w:rsidR="007C4762">
        <w:t>De Nobili</w:t>
      </w:r>
      <w:r w:rsidR="00200495">
        <w:t xml:space="preserve"> argued</w:t>
      </w:r>
      <w:r w:rsidR="006F3FFB">
        <w:t>, natural practices that had</w:t>
      </w:r>
      <w:r w:rsidR="00251C26">
        <w:t xml:space="preserve"> been overlaid with incantations or prayers </w:t>
      </w:r>
      <w:r w:rsidR="006F3FFB">
        <w:t xml:space="preserve">didn’t </w:t>
      </w:r>
      <w:r w:rsidR="00251C26">
        <w:t>condemn converts</w:t>
      </w:r>
      <w:r w:rsidR="006F3FFB">
        <w:t xml:space="preserve"> who still practiced them</w:t>
      </w:r>
      <w:r w:rsidR="00251C26">
        <w:t xml:space="preserve">. These practices should, however, be stripped of superstition. </w:t>
      </w:r>
      <w:r w:rsidR="00200495">
        <w:t>S</w:t>
      </w:r>
      <w:r w:rsidR="007C41A7">
        <w:t xml:space="preserve">uperstition </w:t>
      </w:r>
      <w:r w:rsidR="00200495">
        <w:t>could not be removed from India, but</w:t>
      </w:r>
      <w:r w:rsidR="00251C26">
        <w:t xml:space="preserve"> the distinction between a form motivated by superstitious belief and one mot</w:t>
      </w:r>
      <w:r w:rsidR="007C41A7">
        <w:t>ivated by Christian belief</w:t>
      </w:r>
      <w:r w:rsidR="00200495">
        <w:t xml:space="preserve"> mattered (210). </w:t>
      </w:r>
      <w:r w:rsidR="006F3FFB">
        <w:t xml:space="preserve">De Nobili cited the </w:t>
      </w:r>
      <w:r w:rsidR="006F3FFB">
        <w:rPr>
          <w:i/>
        </w:rPr>
        <w:t xml:space="preserve">Summa </w:t>
      </w:r>
      <w:proofErr w:type="spellStart"/>
      <w:r w:rsidR="006F3FFB">
        <w:rPr>
          <w:i/>
        </w:rPr>
        <w:t>Theologicae</w:t>
      </w:r>
      <w:proofErr w:type="spellEnd"/>
      <w:r w:rsidR="006F3FFB">
        <w:t xml:space="preserve"> (Part II.II, Question 3): “in the use of any object, we should keep an eye on the specific end inherent in it, either of its own nature or by man’s assignment. For every human undertaking is governed by its end” (120). </w:t>
      </w:r>
      <w:r w:rsidR="00200495">
        <w:t>Belief had</w:t>
      </w:r>
      <w:r w:rsidR="00251C26">
        <w:t xml:space="preserve"> the power to change the form and subsequentl</w:t>
      </w:r>
      <w:r w:rsidR="00200495">
        <w:t xml:space="preserve">y shape action. </w:t>
      </w:r>
      <w:r w:rsidR="006D7CAF">
        <w:t xml:space="preserve">This distinction between form and intent established the basis of De Nobili’s philosophy of cultural adaptation. </w:t>
      </w:r>
      <w:r w:rsidR="00200495">
        <w:t>He concluded, “</w:t>
      </w:r>
      <w:r w:rsidR="00251C26">
        <w:t xml:space="preserve">if the whole substance of an action apart from any superimposed intention has an honest end, there is no reason why the action itself should be condemned and forbidden, Only the objectionable form, if any, is to be rejected” (211). </w:t>
      </w:r>
      <w:r w:rsidR="00200495">
        <w:t>He maintained</w:t>
      </w:r>
      <w:r w:rsidR="00251C26">
        <w:t xml:space="preserve"> the importance of social customs and local practice in spite of what would seem to be an obviously </w:t>
      </w:r>
      <w:r w:rsidR="00251C26">
        <w:lastRenderedPageBreak/>
        <w:t xml:space="preserve">non-Christian cultural milieu. </w:t>
      </w:r>
      <w:r w:rsidR="006D7CAF" w:rsidRPr="00B519A2">
        <w:t>The</w:t>
      </w:r>
      <w:r w:rsidR="006D7CAF">
        <w:rPr>
          <w:b/>
        </w:rPr>
        <w:t xml:space="preserve"> </w:t>
      </w:r>
      <w:r w:rsidR="006D7CAF">
        <w:t xml:space="preserve">difference that intention made was all the difference. </w:t>
      </w:r>
      <w:r w:rsidR="00251C26">
        <w:t>Th</w:t>
      </w:r>
      <w:r w:rsidR="007C41A7">
        <w:t xml:space="preserve">is philosophy </w:t>
      </w:r>
      <w:r w:rsidR="006D7CAF">
        <w:t xml:space="preserve">also </w:t>
      </w:r>
      <w:r w:rsidR="007C41A7">
        <w:t>determined</w:t>
      </w:r>
      <w:r w:rsidR="00251C26">
        <w:t xml:space="preserve"> th</w:t>
      </w:r>
      <w:r w:rsidR="007C41A7">
        <w:t>e text itself</w:t>
      </w:r>
      <w:r w:rsidR="00251C26">
        <w:t xml:space="preserve">. </w:t>
      </w:r>
    </w:p>
    <w:p w14:paraId="7A0DA086" w14:textId="17617745" w:rsidR="00234050" w:rsidRDefault="006D7CAF" w:rsidP="006D7CAF">
      <w:pPr>
        <w:spacing w:after="0" w:line="480" w:lineRule="auto"/>
        <w:ind w:firstLine="720"/>
      </w:pPr>
      <w:r>
        <w:t>Even though the text was ai</w:t>
      </w:r>
      <w:r w:rsidR="00A9331D">
        <w:t xml:space="preserve">med at silencing his critics, the </w:t>
      </w:r>
      <w:r w:rsidR="00A9331D">
        <w:rPr>
          <w:i/>
        </w:rPr>
        <w:t>Report</w:t>
      </w:r>
      <w:r>
        <w:t xml:space="preserve"> carried de Nobili’s spirit of adaptation by ruminating on embodied religious practice through logical proofs and against his use of both Western and Indian sources.</w:t>
      </w:r>
      <w:r>
        <w:rPr>
          <w:b/>
        </w:rPr>
        <w:t xml:space="preserve"> </w:t>
      </w:r>
      <w:r>
        <w:t xml:space="preserve">De Nobili’s conclusion demonstrated the Christian value he placed in his actions in spite of their misinterpretation. </w:t>
      </w:r>
      <w:r w:rsidR="00234050">
        <w:t xml:space="preserve">De Nobili’s performance </w:t>
      </w:r>
      <w:r w:rsidR="00884671">
        <w:t xml:space="preserve">of religious devotion, as Ines </w:t>
      </w:r>
      <w:proofErr w:type="spellStart"/>
      <w:r w:rsidR="00884671">
        <w:t>Ž</w:t>
      </w:r>
      <w:r w:rsidR="00234050">
        <w:t>upanov</w:t>
      </w:r>
      <w:proofErr w:type="spellEnd"/>
      <w:r w:rsidR="00234050">
        <w:t xml:space="preserve"> has pointed out, revea</w:t>
      </w:r>
      <w:r>
        <w:t>led</w:t>
      </w:r>
      <w:r w:rsidR="00234050">
        <w:t xml:space="preserve"> </w:t>
      </w:r>
      <w:r w:rsidR="00D43896">
        <w:t>his</w:t>
      </w:r>
      <w:r w:rsidR="00234050">
        <w:t xml:space="preserve"> favor for Jesuit theatrics and Ignatian spirituality. In addition to writing in Tamil and experimenting with Indian literary forms, De Nobili adopted the dress and habits that marked the Indian ascetic or </w:t>
      </w:r>
      <w:r w:rsidR="00234050">
        <w:rPr>
          <w:i/>
        </w:rPr>
        <w:t>sanyas</w:t>
      </w:r>
      <w:r w:rsidR="00D43896">
        <w:rPr>
          <w:i/>
        </w:rPr>
        <w:t>i</w:t>
      </w:r>
      <w:r w:rsidR="00234050">
        <w:t>, constructed a new church</w:t>
      </w:r>
      <w:r w:rsidR="00D43896">
        <w:t xml:space="preserve"> in the Indian style</w:t>
      </w:r>
      <w:r w:rsidR="00234050">
        <w:t xml:space="preserve">, and allowed his converts to maintain their cultural dress. </w:t>
      </w:r>
      <w:r>
        <w:t>Unlike his Tamil texts, t</w:t>
      </w:r>
      <w:r w:rsidR="00234050">
        <w:t xml:space="preserve">hese theatrics were what </w:t>
      </w:r>
      <w:r>
        <w:t xml:space="preserve">was </w:t>
      </w:r>
      <w:r w:rsidR="00234050">
        <w:t>directly called into question by his peers</w:t>
      </w:r>
      <w:r>
        <w:t>. H</w:t>
      </w:r>
      <w:r w:rsidR="00D43896">
        <w:t xml:space="preserve">is </w:t>
      </w:r>
      <w:r w:rsidR="00D43896">
        <w:rPr>
          <w:i/>
        </w:rPr>
        <w:t xml:space="preserve">Report </w:t>
      </w:r>
      <w:r w:rsidR="00D43896">
        <w:t>attempted to make clear exactly why his theatrics carried Christian meaning</w:t>
      </w:r>
      <w:r w:rsidR="00234050">
        <w:t>.</w:t>
      </w:r>
      <w:r>
        <w:t xml:space="preserve"> The </w:t>
      </w:r>
      <w:r>
        <w:rPr>
          <w:i/>
        </w:rPr>
        <w:t>Report</w:t>
      </w:r>
      <w:r>
        <w:t xml:space="preserve"> gave equal value to Indian social practice and texts, but in the end, argued for a real consideration of the power of action to speak alongside words.</w:t>
      </w:r>
      <w:r w:rsidR="00D43896">
        <w:t xml:space="preserve"> The </w:t>
      </w:r>
      <w:r w:rsidR="00D43896">
        <w:rPr>
          <w:i/>
        </w:rPr>
        <w:t>Report</w:t>
      </w:r>
      <w:r>
        <w:t xml:space="preserve"> drew</w:t>
      </w:r>
      <w:r w:rsidR="00D43896">
        <w:t xml:space="preserve"> attention to the </w:t>
      </w:r>
      <w:r>
        <w:t>Christian value that actions could carry beyond any specific</w:t>
      </w:r>
      <w:r w:rsidR="00D43896">
        <w:t xml:space="preserve"> cultural bearing.</w:t>
      </w:r>
      <w:r>
        <w:t xml:space="preserve"> De Nobili was making a case for embodied Christian rhetoric as a way to cut across cultural differences. </w:t>
      </w:r>
      <w:r w:rsidR="00D43896">
        <w:t xml:space="preserve"> </w:t>
      </w:r>
    </w:p>
    <w:p w14:paraId="32E32B17" w14:textId="69D08129" w:rsidR="00BB4BC3" w:rsidRPr="00234050" w:rsidRDefault="00BB4BC3" w:rsidP="006D7CAF">
      <w:pPr>
        <w:spacing w:after="0" w:line="480" w:lineRule="auto"/>
        <w:ind w:firstLine="720"/>
        <w:rPr>
          <w:b/>
        </w:rPr>
      </w:pPr>
      <w:r>
        <w:t xml:space="preserve">Of course, the reception of de Nobili’s text complicate this treatment of his intentions. De Nobili did win the favor of the Society’s general and the Pope, however, much of this support was garnered through the alliances that de Nobili mobilized in letters to family and friends. His uncle was the Cardinal Roberto </w:t>
      </w:r>
      <w:proofErr w:type="spellStart"/>
      <w:r>
        <w:t>Bellarmino</w:t>
      </w:r>
      <w:proofErr w:type="spellEnd"/>
      <w:r>
        <w:t>, his brother was also an impor</w:t>
      </w:r>
      <w:r w:rsidR="00A119BF">
        <w:t xml:space="preserve">tant Roman </w:t>
      </w:r>
      <w:proofErr w:type="spellStart"/>
      <w:r w:rsidR="00A119BF">
        <w:t>preist</w:t>
      </w:r>
      <w:proofErr w:type="spellEnd"/>
      <w:r>
        <w:t xml:space="preserve">, and his sister was a nun located in Rome. While de Nobili was writing his defenses, he was also sending letters to these allies to advocate for him at the Vatican. While de Nobili did succeed in Rome, he never won the favor of the Portuguese. Both the inquisition in Portugal and Goa </w:t>
      </w:r>
      <w:r>
        <w:lastRenderedPageBreak/>
        <w:t xml:space="preserve">denounced his methods, and </w:t>
      </w:r>
      <w:r w:rsidR="00F057BF">
        <w:t xml:space="preserve">it was these </w:t>
      </w:r>
      <w:r>
        <w:t>alliances made in Goa and Portugal formed his</w:t>
      </w:r>
      <w:r w:rsidR="00E458AF">
        <w:t xml:space="preserve"> main opposition.</w:t>
      </w:r>
      <w:r>
        <w:t xml:space="preserve"> </w:t>
      </w:r>
      <w:proofErr w:type="spellStart"/>
      <w:r>
        <w:t>Amorose’s</w:t>
      </w:r>
      <w:proofErr w:type="spellEnd"/>
      <w:r>
        <w:t xml:space="preserve"> observation that </w:t>
      </w:r>
      <w:r w:rsidR="00E458AF">
        <w:t xml:space="preserve">religion also represents resistance to rhetoric, in this sense, may be accurate. De Nobili’s methods were nothing less than controversial within the Catholic church. </w:t>
      </w:r>
    </w:p>
    <w:p w14:paraId="34FEA1DA" w14:textId="77777777" w:rsidR="004A48BC" w:rsidRDefault="004A48BC" w:rsidP="007C4762">
      <w:pPr>
        <w:spacing w:after="0" w:line="480" w:lineRule="auto"/>
        <w:jc w:val="center"/>
        <w:outlineLvl w:val="0"/>
        <w:rPr>
          <w:b/>
        </w:rPr>
      </w:pPr>
      <w:r>
        <w:rPr>
          <w:b/>
        </w:rPr>
        <w:t>The Rhetorical Gap and a Total Transformation</w:t>
      </w:r>
    </w:p>
    <w:p w14:paraId="226375F9" w14:textId="246BB002" w:rsidR="00643044" w:rsidRDefault="00643044" w:rsidP="004A48BC">
      <w:pPr>
        <w:spacing w:after="0" w:line="480" w:lineRule="auto"/>
        <w:ind w:firstLine="720"/>
      </w:pPr>
      <w:r>
        <w:t xml:space="preserve">The dispersed yet deep record on de Nobili is a direct result of the controversy that plagued the early years of his mission. Many of his letters, </w:t>
      </w:r>
      <w:r w:rsidR="00F56AEE">
        <w:t>narratives, and arguments were written in response to</w:t>
      </w:r>
      <w:r>
        <w:t xml:space="preserve"> the scrutiny he was placed under. Yet what he remains most controversial for—his dress, vegetarian diet, and </w:t>
      </w:r>
      <w:r w:rsidR="00F56AEE">
        <w:t xml:space="preserve">Indian-styled </w:t>
      </w:r>
      <w:r>
        <w:t xml:space="preserve">church—are visible only inasmuch as they are preserved in </w:t>
      </w:r>
      <w:r w:rsidR="00F56AEE">
        <w:t>his writings</w:t>
      </w:r>
      <w:r>
        <w:t xml:space="preserve"> and the several drawings that </w:t>
      </w:r>
      <w:r w:rsidR="00F56AEE">
        <w:t>still remain. This conundrum i</w:t>
      </w:r>
      <w:r>
        <w:t xml:space="preserve">s exactly the same one that the Pope found himself in when </w:t>
      </w:r>
      <w:r w:rsidR="00F56AEE">
        <w:t xml:space="preserve">he </w:t>
      </w:r>
      <w:r>
        <w:t xml:space="preserve">forced to make a judgement on de Nobili’s </w:t>
      </w:r>
      <w:r w:rsidR="00F56AEE">
        <w:t xml:space="preserve">missionary </w:t>
      </w:r>
      <w:r>
        <w:t>methods. Cardinal Robert</w:t>
      </w:r>
      <w:r w:rsidR="002E05EE">
        <w:t>o</w:t>
      </w:r>
      <w:r>
        <w:t xml:space="preserve"> </w:t>
      </w:r>
      <w:proofErr w:type="spellStart"/>
      <w:r>
        <w:t>Bellarmino</w:t>
      </w:r>
      <w:proofErr w:type="spellEnd"/>
      <w:r>
        <w:t>, a family friend, himself wrote</w:t>
      </w:r>
      <w:r w:rsidR="00805826">
        <w:t xml:space="preserve"> in a now lost letter</w:t>
      </w:r>
      <w:r w:rsidR="002E05EE">
        <w:t xml:space="preserve"> to d</w:t>
      </w:r>
      <w:r>
        <w:t>e Nobili, “.”</w:t>
      </w:r>
      <w:r w:rsidR="00D032B2">
        <w:t xml:space="preserve"> Yet, de Nobili’s writing in Tamil and Latin—to audiences in India and Europe—points towards his material practices and must be understood alongside them. Taken together with his embodied rhetorical praxis, De Nobili’s writing suggests that Christianity required one to give up a sense of their own agency in order to participate in a truth that was at once transcendent and immanent. It is this paradoxical relationship between transcendence and immanence that rewrites rhetorical agency by</w:t>
      </w:r>
      <w:r w:rsidR="00FB21BF">
        <w:t xml:space="preserve"> envisioning</w:t>
      </w:r>
      <w:r w:rsidR="00D032B2">
        <w:t xml:space="preserve"> rhetorical production through the lens of Ignatian spirituality. Rhetoric, in this sense, supersedes the self and instead depends upon the very difference that seems to estrange more traditional conceptions of agency.</w:t>
      </w:r>
    </w:p>
    <w:p w14:paraId="0AF82166" w14:textId="17E77CE6" w:rsidR="00BC491E" w:rsidRDefault="00BC491E" w:rsidP="00BC491E">
      <w:pPr>
        <w:spacing w:after="0" w:line="480" w:lineRule="auto"/>
        <w:ind w:firstLine="720"/>
      </w:pPr>
      <w:r>
        <w:t>De Nobili’s approach to adaptation was defined by a deep awareness of the power of social customs</w:t>
      </w:r>
      <w:r w:rsidR="00DA69F7">
        <w:t xml:space="preserve"> in India. In the</w:t>
      </w:r>
      <w:r>
        <w:t xml:space="preserve"> </w:t>
      </w:r>
      <w:r>
        <w:rPr>
          <w:i/>
        </w:rPr>
        <w:t>Re</w:t>
      </w:r>
      <w:r w:rsidRPr="00BC491E">
        <w:rPr>
          <w:i/>
        </w:rPr>
        <w:t>port</w:t>
      </w:r>
      <w:r>
        <w:t xml:space="preserve">, </w:t>
      </w:r>
      <w:r w:rsidR="00DA69F7">
        <w:t>d</w:t>
      </w:r>
      <w:r w:rsidRPr="00BC491E">
        <w:t>e</w:t>
      </w:r>
      <w:r>
        <w:t xml:space="preserve"> Nobili explained that it was the Portuguese approach to conversion—in which converts were stripped of Indian social distinctions and customs—that had </w:t>
      </w:r>
      <w:r>
        <w:lastRenderedPageBreak/>
        <w:t>been one of the largest barriers to conversion. This practice stripped the very nature of conversion—the tran</w:t>
      </w:r>
      <w:r w:rsidR="00DA69F7">
        <w:t xml:space="preserve">sformation of the person—of </w:t>
      </w:r>
      <w:r>
        <w:t xml:space="preserve">recognition by forcing converts to leave behind distinctive Indian marker of holiness. In this sense, Christian converts were misidentified as people who had lost faith instead of people who had gained faith. De Nobili urged his readers to consider this quandary of adaptation within a new light: </w:t>
      </w:r>
    </w:p>
    <w:p w14:paraId="6C25FF86" w14:textId="77777777" w:rsidR="00BC491E" w:rsidRDefault="00BC491E" w:rsidP="00BC491E">
      <w:pPr>
        <w:spacing w:after="0" w:line="480" w:lineRule="auto"/>
        <w:ind w:left="1440"/>
      </w:pPr>
      <w:r>
        <w:t xml:space="preserve">“Which man, then, will be induced at such a price to put on the livery of social degradation and contemptible social status? Conversely, who will deny that it is one’s first duty of charity, in view of the salvation of souls, to set aside that tenor of life into which one was born, second nature though it may have become to him, and to assume a different one, if this new way of acting is purely of a social character and entirely free from any moral force of attraction and has often been adopted by saintly men in cases of less urgency than ours here? To make oneself all to all [in social matters] has from earliest times been the policy of the apostles, did not deem it below his august dignity to move freely with those he came to save, and even to comport himself in their company with such familiarity that on this score he was adversely criticized by the Pharisees and leaders of the people” (223). </w:t>
      </w:r>
    </w:p>
    <w:p w14:paraId="79D29C47" w14:textId="531E460E" w:rsidR="00C451D4" w:rsidRDefault="00BC491E" w:rsidP="00BC491E">
      <w:pPr>
        <w:spacing w:after="0" w:line="480" w:lineRule="auto"/>
      </w:pPr>
      <w:r>
        <w:t xml:space="preserve">De Nobili’s believed that in separating itself from social distinctions, Christianity could allow for its own transformation amidst different social markers. He identified this as a “give and take,” where lessons could be learned from other cultures (223). The </w:t>
      </w:r>
      <w:r>
        <w:rPr>
          <w:i/>
        </w:rPr>
        <w:t xml:space="preserve">Report </w:t>
      </w:r>
      <w:r>
        <w:t xml:space="preserve">in this sense </w:t>
      </w:r>
      <w:r w:rsidR="00C451D4">
        <w:t>encouraged a new idiom of Christian action by c</w:t>
      </w:r>
      <w:r w:rsidR="00DA69F7">
        <w:t>alling attention to the meaning</w:t>
      </w:r>
      <w:r w:rsidR="00C451D4">
        <w:t xml:space="preserve"> behind actions. </w:t>
      </w:r>
      <w:r>
        <w:t>D</w:t>
      </w:r>
      <w:r w:rsidR="001D6778">
        <w:t>e</w:t>
      </w:r>
      <w:r w:rsidR="007C4762">
        <w:t xml:space="preserve"> Nobili</w:t>
      </w:r>
      <w:r w:rsidR="004A48BC">
        <w:t xml:space="preserve">’s scripted </w:t>
      </w:r>
      <w:r w:rsidR="00DA69F7">
        <w:t>dialogues dre</w:t>
      </w:r>
      <w:r>
        <w:t>w</w:t>
      </w:r>
      <w:r w:rsidR="004A48BC">
        <w:t xml:space="preserve"> attention to the gap between </w:t>
      </w:r>
      <w:r>
        <w:t xml:space="preserve">cultures but in </w:t>
      </w:r>
      <w:r w:rsidR="004A48BC">
        <w:t xml:space="preserve">foregrounding this gap, </w:t>
      </w:r>
      <w:r w:rsidR="00DA69F7">
        <w:t>d</w:t>
      </w:r>
      <w:r w:rsidR="007C4762">
        <w:t>e Nobili</w:t>
      </w:r>
      <w:r w:rsidR="004A48BC">
        <w:t xml:space="preserve"> invokes a place beyond the text where the word is animated by its enactment. </w:t>
      </w:r>
    </w:p>
    <w:p w14:paraId="543CE106" w14:textId="58C14DCE" w:rsidR="004A48BC" w:rsidRDefault="004A48BC" w:rsidP="002D4444">
      <w:pPr>
        <w:spacing w:after="0" w:line="480" w:lineRule="auto"/>
        <w:ind w:firstLine="720"/>
      </w:pPr>
      <w:r>
        <w:lastRenderedPageBreak/>
        <w:t xml:space="preserve">This place can be found within the biography of </w:t>
      </w:r>
      <w:r w:rsidR="00DA69F7">
        <w:t>d</w:t>
      </w:r>
      <w:r w:rsidR="007C4762">
        <w:t>e Nobili</w:t>
      </w:r>
      <w:r>
        <w:t>’s life. Reports from fellow Jesuits and his superiors capture exactly what is promised by the text as proxy. His actions, with and against his words, produce</w:t>
      </w:r>
      <w:r w:rsidR="00DA69F7">
        <w:t>d a</w:t>
      </w:r>
      <w:r>
        <w:t xml:space="preserve"> transformation, motivating a process of becoming shared between. Understood from this broader perspective, </w:t>
      </w:r>
      <w:r w:rsidR="007C4762">
        <w:t>De Nobili</w:t>
      </w:r>
      <w:r>
        <w:t>’s actions depend</w:t>
      </w:r>
      <w:r w:rsidR="00DA69F7">
        <w:t>ed</w:t>
      </w:r>
      <w:r>
        <w:t xml:space="preserve"> upon the text opening up this gap. As </w:t>
      </w:r>
      <w:r w:rsidR="00DA69F7">
        <w:t xml:space="preserve">an </w:t>
      </w:r>
      <w:r>
        <w:t>opening</w:t>
      </w:r>
      <w:r w:rsidR="00DA69F7">
        <w:t xml:space="preserve"> rather than an end, his texts qualified</w:t>
      </w:r>
      <w:r>
        <w:t xml:space="preserve"> the viability of a singl</w:t>
      </w:r>
      <w:r w:rsidR="00DA69F7">
        <w:t>e human perspective and suggested</w:t>
      </w:r>
      <w:r>
        <w:t xml:space="preserve"> instead that meaning</w:t>
      </w:r>
      <w:r w:rsidR="00DA69F7">
        <w:t xml:space="preserve"> was co-constructed in dialogue, </w:t>
      </w:r>
      <w:r>
        <w:t xml:space="preserve">brought together through ecologies reaching </w:t>
      </w:r>
      <w:r>
        <w:rPr>
          <w:i/>
        </w:rPr>
        <w:t>towards</w:t>
      </w:r>
      <w:r>
        <w:t xml:space="preserve"> a common union. It is the text as engaging </w:t>
      </w:r>
      <w:r>
        <w:rPr>
          <w:i/>
        </w:rPr>
        <w:t>with</w:t>
      </w:r>
      <w:r w:rsidR="00DA69F7">
        <w:t xml:space="preserve"> that motivated his</w:t>
      </w:r>
      <w:r>
        <w:t xml:space="preserve"> rhetorical</w:t>
      </w:r>
      <w:r w:rsidR="00DA69F7">
        <w:t xml:space="preserve"> action</w:t>
      </w:r>
      <w:r>
        <w:t>—ending in</w:t>
      </w:r>
      <w:r w:rsidR="00DA69F7">
        <w:t xml:space="preserve"> a text transformed into action</w:t>
      </w:r>
      <w:r>
        <w:t xml:space="preserve"> and a speaker and reader transformed by that action. Action b</w:t>
      </w:r>
      <w:r w:rsidR="00DA69F7">
        <w:t>ecame</w:t>
      </w:r>
      <w:r>
        <w:t xml:space="preserve"> necessary because of its very ability to produce the transformation promised by </w:t>
      </w:r>
      <w:r w:rsidR="00DA69F7">
        <w:t xml:space="preserve">the </w:t>
      </w:r>
      <w:r>
        <w:t xml:space="preserve">text, complicating, confirming, and contradicting text as truth. The promise of a physical recognition that could supersede and overcome the impasse of language became a primary motivation for </w:t>
      </w:r>
      <w:r w:rsidR="007C4762">
        <w:t>De Nobili</w:t>
      </w:r>
      <w:r>
        <w:t>’s embodied engagement with local tradition. Where words failed, action pro</w:t>
      </w:r>
      <w:r w:rsidR="002D4444">
        <w:t>vided a bridge to</w:t>
      </w:r>
      <w:r>
        <w:t xml:space="preserve"> understanding. Action could operate on a level prior to translation in its adaptation to the recognizable cultural forms of local spiritual articulation not at odds with </w:t>
      </w:r>
      <w:r w:rsidR="007C4762">
        <w:t>De Nobili</w:t>
      </w:r>
      <w:r>
        <w:t xml:space="preserve">’s own austerity. </w:t>
      </w:r>
    </w:p>
    <w:p w14:paraId="3E917407" w14:textId="5540D636" w:rsidR="004A48BC" w:rsidRDefault="007C4762" w:rsidP="004A48BC">
      <w:pPr>
        <w:spacing w:after="0" w:line="480" w:lineRule="auto"/>
        <w:ind w:firstLine="720"/>
      </w:pPr>
      <w:r>
        <w:t>De Nobili</w:t>
      </w:r>
      <w:r w:rsidR="004A48BC">
        <w:t xml:space="preserve"> involved himself in a total embodiment of this adaptation. He changed what he himself consumed. He abstained from meat and other animal products considered impure. He also refused to drink alcohol, another form of spiritual pollution, to “persuade them more easily.” He instead ate only vegetables. He changed his appearance as well. He adopted the dress of a </w:t>
      </w:r>
      <w:r w:rsidR="007214E6">
        <w:rPr>
          <w:i/>
        </w:rPr>
        <w:t>sa</w:t>
      </w:r>
      <w:r w:rsidR="004A48BC">
        <w:rPr>
          <w:i/>
        </w:rPr>
        <w:t xml:space="preserve">nyasi, </w:t>
      </w:r>
      <w:r w:rsidR="004A48BC">
        <w:t>a person who renounced the world and led a life devoted to the spirit. His dress consisted of a long yellow robe with a yellow rochet of fine linens on top. Over his shoulder, he wore a red cloth, and on his head, he wore a white linen biretta. From his neck hung three threads of gold and two of white linen with a cross (see Figure 1). He physically—both inside and out—</w:t>
      </w:r>
      <w:r w:rsidR="004A48BC">
        <w:lastRenderedPageBreak/>
        <w:t>embodied a new culture. He also relocated himself in space. He moved houses and then avoided leaving his house. He kept himself from seeing visitors in order to show his devotion to contemplation and chastity. He construct</w:t>
      </w:r>
      <w:r w:rsidR="00BA64A0">
        <w:t>ed</w:t>
      </w:r>
      <w:r w:rsidR="004A48BC">
        <w:t xml:space="preserve"> an entirely new compound that connected his house to a church that maintained separate spaces for different castes while also foregrounding his removal from the natural world (see Figure 2). This was another kind of spatial adaptation that reproduced physical asceticism. When he did receive visitors, only after they had repeated their request to see him several times, </w:t>
      </w:r>
      <w:r>
        <w:t>De Nobili</w:t>
      </w:r>
      <w:r w:rsidR="004A48BC">
        <w:t xml:space="preserve"> received them through local ceremony. He sat on a raised platform covered in red cloth with another cloth spread on the ground in front of him and then a mat of straw. His visitors then bowed three times to him, “raising their joined hands to the head, and then lowering them in a profound inclination to indicate that they desired to become his disciples,” prostrating themselves on the ground, and then finally standing. </w:t>
      </w:r>
      <w:r>
        <w:t>De Nobili</w:t>
      </w:r>
      <w:r w:rsidR="004A48BC">
        <w:t xml:space="preserve">’s practice was not just an outward form but became a new kind of being in the world. He became defined by the recognition of the local population. In attempting to reach an understanding, he adapted his being and not just his words. This move from text to body cannot be reduced to appearance alone. It instead involved a real interaction between him and his surroundings and therefore reflects the inter-animation of </w:t>
      </w:r>
      <w:r>
        <w:t>De Nobili</w:t>
      </w:r>
      <w:r w:rsidR="004A48BC">
        <w:t xml:space="preserve"> and his environment. It was the exchange and engagement of one with the other. </w:t>
      </w:r>
      <w:r>
        <w:t>De Nobili</w:t>
      </w:r>
      <w:r w:rsidR="004A48BC">
        <w:t xml:space="preserve">’s words became his actions, which ended in his own transformation. </w:t>
      </w:r>
    </w:p>
    <w:p w14:paraId="3130BEF3" w14:textId="281BE8C9" w:rsidR="008E7699" w:rsidRDefault="008E7699" w:rsidP="004A48BC">
      <w:pPr>
        <w:spacing w:after="0" w:line="480" w:lineRule="auto"/>
        <w:ind w:firstLine="720"/>
      </w:pPr>
      <w:r>
        <w:t xml:space="preserve">In this sense, De Nobili also draws on the dialectic structure of Ignatius of Loyola’s </w:t>
      </w:r>
      <w:r>
        <w:rPr>
          <w:i/>
        </w:rPr>
        <w:t>Spiritual Exercises</w:t>
      </w:r>
      <w:r>
        <w:t xml:space="preserve">. </w:t>
      </w:r>
      <w:r w:rsidR="00884671">
        <w:t xml:space="preserve">Loyola’s </w:t>
      </w:r>
      <w:r w:rsidR="00884671">
        <w:rPr>
          <w:i/>
        </w:rPr>
        <w:t xml:space="preserve">Exercises </w:t>
      </w:r>
      <w:r w:rsidR="00884671">
        <w:t xml:space="preserve">were the product of his own experience of </w:t>
      </w:r>
      <w:r w:rsidR="001B7C0C">
        <w:t xml:space="preserve">conversion and led to the founding of the Society of Jesus, commonly referred to as the Jesuits. Jesuits were to go through the </w:t>
      </w:r>
      <w:r w:rsidR="001B7C0C">
        <w:rPr>
          <w:i/>
        </w:rPr>
        <w:t xml:space="preserve">Exercises </w:t>
      </w:r>
      <w:r w:rsidR="001B7C0C">
        <w:t xml:space="preserve">during their own formation and were encouraged to return to the retreat throughout their lives. </w:t>
      </w:r>
      <w:r w:rsidR="00884671">
        <w:t xml:space="preserve">The </w:t>
      </w:r>
      <w:r w:rsidR="00884671">
        <w:rPr>
          <w:i/>
        </w:rPr>
        <w:t xml:space="preserve">Spiritual Exercises </w:t>
      </w:r>
      <w:r w:rsidR="00884671">
        <w:t xml:space="preserve">integrate dialogue into its very structure; it </w:t>
      </w:r>
      <w:r w:rsidR="00884671">
        <w:lastRenderedPageBreak/>
        <w:t>is the constant exchange between the</w:t>
      </w:r>
      <w:r>
        <w:t xml:space="preserve"> exercitant and their director that </w:t>
      </w:r>
      <w:r w:rsidR="00884671">
        <w:t xml:space="preserve">guides the retreat and, arguably, the spiritual development of </w:t>
      </w:r>
      <w:r>
        <w:t>the exercitant</w:t>
      </w:r>
      <w:r w:rsidR="00884671">
        <w:t xml:space="preserve">. </w:t>
      </w:r>
      <w:r w:rsidR="001B7C0C">
        <w:t xml:space="preserve">The text follows the dialectic between good and evil throughout as a way for participants to distinguish the direction of their lives and make decisions. </w:t>
      </w:r>
      <w:r w:rsidR="00884671">
        <w:t xml:space="preserve">The </w:t>
      </w:r>
      <w:r w:rsidR="001B7C0C">
        <w:t xml:space="preserve">ultimate </w:t>
      </w:r>
      <w:r w:rsidR="00884671">
        <w:t xml:space="preserve">goal of the text is to allow the exercitant to recognize the presence of God within themselves and then to move them towards recognizing </w:t>
      </w:r>
      <w:r>
        <w:t xml:space="preserve">God’s presence in the world and reproducing that presence through </w:t>
      </w:r>
      <w:r w:rsidR="00884671">
        <w:t xml:space="preserve">their own </w:t>
      </w:r>
      <w:r w:rsidR="002E5F56">
        <w:t>Christian action. For d</w:t>
      </w:r>
      <w:r>
        <w:t>e Nobili, it is within this move to action that knowledge reproduces itself and confirms its validity.</w:t>
      </w:r>
    </w:p>
    <w:p w14:paraId="51BE413C" w14:textId="373A8A64" w:rsidR="002E5F56" w:rsidRDefault="004A48BC" w:rsidP="004A48BC">
      <w:pPr>
        <w:spacing w:after="0" w:line="480" w:lineRule="auto"/>
      </w:pPr>
      <w:r>
        <w:tab/>
      </w:r>
      <w:r w:rsidR="007C4762">
        <w:t>De Nobili</w:t>
      </w:r>
      <w:r>
        <w:t>’s embodied production of faith only increased as his life went on. This embodiment was generative. During his old age, he was relocated to Sri Lanka for the better climate. While there, however, “his zeal soon impelled him into new apostolic works as tiring as those which his Superiors wanted to relieve him of.” And it was this zeal that moved the locals, “the holiness and the character of an apostle, the charm of his words and the beauty o</w:t>
      </w:r>
      <w:r w:rsidR="002E05EE">
        <w:t>f his talent, won him all heart</w:t>
      </w:r>
      <w:r>
        <w:t>”</w:t>
      </w:r>
      <w:r w:rsidR="002E05EE">
        <w:t xml:space="preserve"> (</w:t>
      </w:r>
      <w:proofErr w:type="spellStart"/>
      <w:r w:rsidR="002E05EE">
        <w:t>Proença</w:t>
      </w:r>
      <w:proofErr w:type="spellEnd"/>
      <w:r w:rsidR="002E05EE">
        <w:t>).</w:t>
      </w:r>
      <w:r>
        <w:t xml:space="preserve"> He soon was removed to </w:t>
      </w:r>
      <w:proofErr w:type="spellStart"/>
      <w:r>
        <w:t>Mylapore</w:t>
      </w:r>
      <w:proofErr w:type="spellEnd"/>
      <w:r>
        <w:t>, which would be his final post. His “austerity” again extended to his living quarters, “he built for himself in a garden situated outside the fort a small earthen</w:t>
      </w:r>
      <w:r w:rsidR="002E05EE">
        <w:t xml:space="preserve"> cabin covered with palm leaves</w:t>
      </w:r>
      <w:r>
        <w:t>”</w:t>
      </w:r>
      <w:r w:rsidR="002E05EE">
        <w:t xml:space="preserve"> (</w:t>
      </w:r>
      <w:proofErr w:type="spellStart"/>
      <w:r w:rsidR="002E05EE">
        <w:t>Proença</w:t>
      </w:r>
      <w:proofErr w:type="spellEnd"/>
      <w:r w:rsidR="002E05EE">
        <w:t xml:space="preserve">). </w:t>
      </w:r>
      <w:r>
        <w:t xml:space="preserve">Dependent upon his surroundings for his own definition, </w:t>
      </w:r>
      <w:r w:rsidR="007214E6">
        <w:t>d</w:t>
      </w:r>
      <w:r w:rsidR="007C4762">
        <w:t>e Nobili</w:t>
      </w:r>
      <w:r>
        <w:t xml:space="preserve"> became more than himself and more than these forms. In transcending the confines of the speaker and the presumed agency it provided, he became co-constructed. He came to occupy the role of listener as well and was transformed in this openness.</w:t>
      </w:r>
    </w:p>
    <w:p w14:paraId="0DC7810B" w14:textId="1D0696A1" w:rsidR="002E5F56" w:rsidRDefault="00733FCC" w:rsidP="00BF2A9E">
      <w:pPr>
        <w:spacing w:after="0" w:line="480" w:lineRule="auto"/>
      </w:pPr>
      <w:r>
        <w:t xml:space="preserve">Antony </w:t>
      </w:r>
      <w:proofErr w:type="spellStart"/>
      <w:r w:rsidR="002E5F56">
        <w:t>Vico</w:t>
      </w:r>
      <w:proofErr w:type="spellEnd"/>
      <w:r>
        <w:t>, formerly the chair of Theology at the College of Cochin,</w:t>
      </w:r>
      <w:r w:rsidR="002E5F56">
        <w:t xml:space="preserve"> joined de Nobili’s mission in 1609 to help support his growing church. His first report of the mission captured the way in which de Nobili’s actions demonstrated a changed heart: </w:t>
      </w:r>
    </w:p>
    <w:p w14:paraId="179C7852" w14:textId="0D568776" w:rsidR="002E5F56" w:rsidRDefault="002E5F56" w:rsidP="002E05EE">
      <w:pPr>
        <w:spacing w:after="0" w:line="480" w:lineRule="auto"/>
        <w:ind w:left="1440"/>
      </w:pPr>
      <w:r w:rsidRPr="00BF2A9E">
        <w:rPr>
          <w:color w:val="333333"/>
          <w:szCs w:val="20"/>
        </w:rPr>
        <w:lastRenderedPageBreak/>
        <w:t>If I did not see it with my own eyes and touch it with my own hands, I would call it the ideal perfection of the missionary, that should be as</w:t>
      </w:r>
      <w:r w:rsidR="00BF2A9E" w:rsidRPr="00BF2A9E">
        <w:rPr>
          <w:color w:val="333333"/>
          <w:szCs w:val="20"/>
        </w:rPr>
        <w:t xml:space="preserve">pired to but cannot be attained. … </w:t>
      </w:r>
      <w:r w:rsidRPr="00BF2A9E">
        <w:rPr>
          <w:color w:val="333333"/>
          <w:szCs w:val="20"/>
        </w:rPr>
        <w:t>Seeing this wonderful combination of eminent qua</w:t>
      </w:r>
      <w:r w:rsidR="00BF2A9E" w:rsidRPr="00BF2A9E">
        <w:rPr>
          <w:color w:val="333333"/>
          <w:szCs w:val="20"/>
        </w:rPr>
        <w:t>lities, I think it would be an i</w:t>
      </w:r>
      <w:r w:rsidRPr="00BF2A9E">
        <w:rPr>
          <w:color w:val="333333"/>
          <w:szCs w:val="20"/>
        </w:rPr>
        <w:t xml:space="preserve">nsult to the divine liberality, if I did not ascribe them to a very special grace and an extraordinary gift of the Divine Goodness, rather than to the natural talents of Father Robert. Those incomparable external gifts are ennobled and sanctified in him by still more precious qualities. I mean, the interior virtues which adorn his soul. His humility, modesty, spirit of faith, gentle affability, exquisite sense if piety and love of God, spread around him such a sweet perfume that in spite of my miseries, since I have the happiness of enjoying his presence, I feel inundated with spiritual delights. </w:t>
      </w:r>
      <w:r w:rsidR="002E05EE">
        <w:t>(</w:t>
      </w:r>
      <w:proofErr w:type="spellStart"/>
      <w:r w:rsidR="002E05EE">
        <w:t>Vico</w:t>
      </w:r>
      <w:proofErr w:type="spellEnd"/>
      <w:r w:rsidR="002E05EE">
        <w:t xml:space="preserve"> to </w:t>
      </w:r>
      <w:proofErr w:type="spellStart"/>
      <w:r w:rsidR="002E05EE">
        <w:t>Aquaviva</w:t>
      </w:r>
      <w:proofErr w:type="spellEnd"/>
      <w:r w:rsidR="002E05EE">
        <w:t>, 25 October 1610)</w:t>
      </w:r>
      <w:r w:rsidR="002E05EE" w:rsidRPr="00BF2A9E">
        <w:t xml:space="preserve"> </w:t>
      </w:r>
    </w:p>
    <w:p w14:paraId="6D1D0A01" w14:textId="39AE3AF8" w:rsidR="004A48BC" w:rsidRDefault="004A48BC" w:rsidP="00BF2A9E">
      <w:pPr>
        <w:spacing w:after="0" w:line="480" w:lineRule="auto"/>
      </w:pPr>
      <w:r>
        <w:t xml:space="preserve">This change increased with time. His internal devotion only intensified. In his old age, he confined himself further to his hut and lived on a diet of boiled bitter herbs, only spending his remaining time in prayer, contemplation, and the dictation of his works. When he lost his eyesight, his prayers and dictations only increased. Fellow Jesuit, Antonio di </w:t>
      </w:r>
      <w:proofErr w:type="spellStart"/>
      <w:r>
        <w:t>Proença</w:t>
      </w:r>
      <w:proofErr w:type="spellEnd"/>
      <w:r>
        <w:t xml:space="preserve"> wrote, before reporting his death:</w:t>
      </w:r>
    </w:p>
    <w:p w14:paraId="0E15C3EC" w14:textId="24E79AEC" w:rsidR="004A48BC" w:rsidRDefault="004A48BC" w:rsidP="002E05EE">
      <w:pPr>
        <w:spacing w:after="0" w:line="480" w:lineRule="auto"/>
        <w:ind w:left="1440"/>
      </w:pPr>
      <w:r>
        <w:t xml:space="preserve">What proves his sanctity more than these marvels are the fruits he produced, and the virtues of which his life was a continuous exercise. This austere penance which he never discarded, this </w:t>
      </w:r>
      <w:r w:rsidR="007C4762">
        <w:t>de Nobili</w:t>
      </w:r>
      <w:r>
        <w:t xml:space="preserve">ty of character which made him overcome all dangers and sufferings, an incredible meekness which made him accept not only from the heathen but from the virtuous and learned men all kinds of contempt, accusations and infamy, without experiencing the least feeling of anger or bitterness towards them, as he ingenuously confessed; a loving devotion </w:t>
      </w:r>
      <w:r>
        <w:lastRenderedPageBreak/>
        <w:t xml:space="preserve">to the Holy Virgin, an ardent love for Jesus crucified; a constant union [this is what overcomes fatigue] with God amid fatigue and worries of a most dissipating life; humility and obedience [this is what transforms obedience into will] which shone forth in almost all his letters and still more radiantly in all his conduct, finally his self-mastery, the serenity of his face and affable manners which joined with the dignity of a high stature, the </w:t>
      </w:r>
      <w:r w:rsidR="007C4762">
        <w:t>de Nobili</w:t>
      </w:r>
      <w:r>
        <w:t>ty of a majestic gait, inspired all who dealt with him with benevolence and commanded a kind of veneration; that is what constitutes the sanctity of that true apostolic man, one of the greatest missio</w:t>
      </w:r>
      <w:r w:rsidR="002E05EE">
        <w:t>naries of the Society of Jesus. (</w:t>
      </w:r>
      <w:proofErr w:type="spellStart"/>
      <w:r w:rsidR="002E05EE">
        <w:t>Proença</w:t>
      </w:r>
      <w:proofErr w:type="spellEnd"/>
      <w:r w:rsidR="002E05EE">
        <w:t>)</w:t>
      </w:r>
    </w:p>
    <w:p w14:paraId="7409FC70" w14:textId="77777777" w:rsidR="004A48BC" w:rsidRDefault="004A48BC" w:rsidP="004A48BC">
      <w:pPr>
        <w:spacing w:after="0" w:line="480" w:lineRule="auto"/>
      </w:pPr>
      <w:r>
        <w:t xml:space="preserve">Yet this transformation invited in the other and invited its return, a mimesis of one with the other. Action, in this sense, transcends form because it has the ability to be read against itself. Transformation marks a change, and this change creates meaning that need not be translated nor defined by its outward form. It need only depend on a comparison with itself. This transformation is further dependent upon and fueled by the promise of comparison, a difference that is networked, shared, and then re-constructed—difference that becomes different. This state of affairs shows how difference is productive, that it need not be overcome but rather invites engagement, which invites enactment, which begets a transformation. </w:t>
      </w:r>
    </w:p>
    <w:p w14:paraId="06723A4F" w14:textId="7DA18F14" w:rsidR="00BF2A9E" w:rsidRDefault="004A48BC" w:rsidP="004A48BC">
      <w:pPr>
        <w:spacing w:after="0" w:line="480" w:lineRule="auto"/>
      </w:pPr>
      <w:r>
        <w:tab/>
        <w:t>When understood as rhetorical, this movement between and with ends in transformation that defines education</w:t>
      </w:r>
      <w:r w:rsidR="00BF2A9E">
        <w:t xml:space="preserve">. De Nobili’s converts completed this kind of reciprocity. After remarking on de Nobili’s piety, </w:t>
      </w:r>
      <w:proofErr w:type="spellStart"/>
      <w:r w:rsidR="00BF2A9E">
        <w:t>Vico</w:t>
      </w:r>
      <w:proofErr w:type="spellEnd"/>
      <w:r w:rsidR="00BF2A9E">
        <w:t xml:space="preserve"> made a point to recount the actions of converts:</w:t>
      </w:r>
    </w:p>
    <w:p w14:paraId="0FA1F972" w14:textId="10F2DAE6" w:rsidR="00BF2A9E" w:rsidRDefault="00BF2A9E" w:rsidP="00BF2A9E">
      <w:pPr>
        <w:spacing w:after="0" w:line="480" w:lineRule="auto"/>
        <w:ind w:left="1440"/>
      </w:pPr>
      <w:r w:rsidRPr="00BF2A9E">
        <w:t>With their knowledge these converts combine such a great devotion and attachment</w:t>
      </w:r>
      <w:r>
        <w:t xml:space="preserve"> to Our Lord that I am amazed. Th</w:t>
      </w:r>
      <w:r w:rsidRPr="00BF2A9E">
        <w:t xml:space="preserve">is piety appears in their discourses and in their actions. When you speak with them you must be very careful, for as </w:t>
      </w:r>
      <w:r w:rsidRPr="00BF2A9E">
        <w:lastRenderedPageBreak/>
        <w:t>soon as t</w:t>
      </w:r>
      <w:r>
        <w:t>hey hear the Holy Names of Jesu</w:t>
      </w:r>
      <w:r w:rsidRPr="00BF2A9E">
        <w:t>s, of Mary, of the Blessed Sacrament and the Holy Trinity</w:t>
      </w:r>
      <w:r>
        <w:t>,</w:t>
      </w:r>
      <w:r w:rsidRPr="00BF2A9E">
        <w:t xml:space="preserve"> they raise their joined hands before their breast as a sign of respect. When they meet one another or one of our C</w:t>
      </w:r>
      <w:r>
        <w:t>hristians, I mean those of our c</w:t>
      </w:r>
      <w:r w:rsidRPr="00BF2A9E">
        <w:t xml:space="preserve">hurch, or from the Coast, Portuguese or </w:t>
      </w:r>
      <w:proofErr w:type="spellStart"/>
      <w:r w:rsidRPr="00BF2A9E">
        <w:t>Top</w:t>
      </w:r>
      <w:r>
        <w:t>as</w:t>
      </w:r>
      <w:proofErr w:type="spellEnd"/>
      <w:r>
        <w:t xml:space="preserve">, they salute them by saying </w:t>
      </w:r>
      <w:proofErr w:type="spellStart"/>
      <w:r w:rsidRPr="00BF2A9E">
        <w:rPr>
          <w:i/>
        </w:rPr>
        <w:t>Sasu</w:t>
      </w:r>
      <w:proofErr w:type="spellEnd"/>
      <w:r w:rsidRPr="00BF2A9E">
        <w:rPr>
          <w:i/>
        </w:rPr>
        <w:t xml:space="preserve"> </w:t>
      </w:r>
      <w:proofErr w:type="spellStart"/>
      <w:r w:rsidRPr="00BF2A9E">
        <w:rPr>
          <w:i/>
        </w:rPr>
        <w:t>Nadarukku</w:t>
      </w:r>
      <w:proofErr w:type="spellEnd"/>
      <w:r w:rsidRPr="00BF2A9E">
        <w:rPr>
          <w:i/>
        </w:rPr>
        <w:t xml:space="preserve"> </w:t>
      </w:r>
      <w:proofErr w:type="spellStart"/>
      <w:r w:rsidRPr="00BF2A9E">
        <w:rPr>
          <w:i/>
        </w:rPr>
        <w:t>Mangalam</w:t>
      </w:r>
      <w:proofErr w:type="spellEnd"/>
      <w:r w:rsidRPr="00BF2A9E">
        <w:t xml:space="preserve">, </w:t>
      </w:r>
      <w:r>
        <w:t>… praised be</w:t>
      </w:r>
      <w:r w:rsidRPr="00BF2A9E">
        <w:t xml:space="preserve"> </w:t>
      </w:r>
      <w:r>
        <w:t>the Lord Jesus. (</w:t>
      </w:r>
      <w:proofErr w:type="spellStart"/>
      <w:r w:rsidR="002E05EE">
        <w:t>Vico</w:t>
      </w:r>
      <w:proofErr w:type="spellEnd"/>
      <w:r w:rsidR="002E05EE">
        <w:t xml:space="preserve"> to </w:t>
      </w:r>
      <w:proofErr w:type="spellStart"/>
      <w:r w:rsidR="002E05EE">
        <w:t>Aquaviva</w:t>
      </w:r>
      <w:proofErr w:type="spellEnd"/>
      <w:r w:rsidR="002E05EE">
        <w:t>, 25 October 1610</w:t>
      </w:r>
      <w:r>
        <w:t>)</w:t>
      </w:r>
      <w:r w:rsidRPr="00BF2A9E">
        <w:t xml:space="preserve"> </w:t>
      </w:r>
    </w:p>
    <w:p w14:paraId="0600EF0A" w14:textId="77777777" w:rsidR="009A142A" w:rsidRDefault="004A48BC" w:rsidP="004A48BC">
      <w:pPr>
        <w:spacing w:after="0" w:line="480" w:lineRule="auto"/>
      </w:pPr>
      <w:r>
        <w:t>Rather than the mere relation o</w:t>
      </w:r>
      <w:r w:rsidR="002D4444">
        <w:t>f information, texts require a</w:t>
      </w:r>
      <w:r>
        <w:t xml:space="preserve"> subsequent change in the actors that becomes the difference.</w:t>
      </w:r>
      <w:r w:rsidR="009A142A">
        <w:t xml:space="preserve"> Upon visiting de Nobili, Father </w:t>
      </w:r>
      <w:proofErr w:type="spellStart"/>
      <w:r w:rsidR="009A142A">
        <w:t>Buccerio</w:t>
      </w:r>
      <w:proofErr w:type="spellEnd"/>
      <w:r w:rsidR="009A142A">
        <w:t xml:space="preserve"> wrote about the genuine different de Nobili’s instruction created within his converts: </w:t>
      </w:r>
    </w:p>
    <w:p w14:paraId="5A5C7A7A" w14:textId="74D2C54A" w:rsidR="009A142A" w:rsidRDefault="009A142A" w:rsidP="009A142A">
      <w:pPr>
        <w:spacing w:after="0" w:line="480" w:lineRule="auto"/>
        <w:ind w:left="1440"/>
      </w:pPr>
      <w:r>
        <w:t xml:space="preserve">They follow the instructions of the </w:t>
      </w:r>
      <w:proofErr w:type="spellStart"/>
      <w:r>
        <w:t>Aiyer</w:t>
      </w:r>
      <w:proofErr w:type="spellEnd"/>
      <w:r>
        <w:t xml:space="preserve"> for several months and when they are fully convinced, they ask to be baptized, with no other motive than to please God and obtain their eternal salvation. The </w:t>
      </w:r>
      <w:proofErr w:type="spellStart"/>
      <w:r>
        <w:t>Aiyer</w:t>
      </w:r>
      <w:proofErr w:type="spellEnd"/>
      <w:r>
        <w:t xml:space="preserve"> never gives anything to his converts on that occasion; they on the contrary bring small offerings to the Church such as flowers etc. It is not much; yet it causes some envy among us who are always worried by the petitions of our converts both at the</w:t>
      </w:r>
      <w:r w:rsidR="002E05EE">
        <w:t xml:space="preserve"> time of baptism and after. </w:t>
      </w:r>
    </w:p>
    <w:p w14:paraId="3E264E5F" w14:textId="37E54280" w:rsidR="004A48BC" w:rsidRDefault="009A142A" w:rsidP="004A48BC">
      <w:pPr>
        <w:spacing w:after="0" w:line="480" w:lineRule="auto"/>
      </w:pPr>
      <w:r>
        <w:t xml:space="preserve">After meeting these converts, </w:t>
      </w:r>
      <w:proofErr w:type="spellStart"/>
      <w:r>
        <w:t>Buccerio</w:t>
      </w:r>
      <w:proofErr w:type="spellEnd"/>
      <w:r>
        <w:t xml:space="preserve"> was taken aback. He admitted, “I cannot describe with what affection all those Christians received me, still less the</w:t>
      </w:r>
      <w:r w:rsidR="002E05EE">
        <w:t xml:space="preserve"> consolation they gave me.”</w:t>
      </w:r>
      <w:r>
        <w:t xml:space="preserve"> </w:t>
      </w:r>
      <w:r w:rsidR="004A48BC">
        <w:t>Withi</w:t>
      </w:r>
      <w:r w:rsidR="002D4444">
        <w:t xml:space="preserve">n this scenario, human will </w:t>
      </w:r>
      <w:proofErr w:type="gramStart"/>
      <w:r w:rsidR="004A48BC">
        <w:t>disintegrates</w:t>
      </w:r>
      <w:proofErr w:type="gramEnd"/>
      <w:r w:rsidR="004A48BC">
        <w:t xml:space="preserve"> in order to transcend difference by transcending first and foremost the self. This dialogue depends further on the environment, drawing meaning from the diversity of resources surrounding, enveloping, and subsuming the </w:t>
      </w:r>
      <w:proofErr w:type="spellStart"/>
      <w:r w:rsidR="004A48BC">
        <w:t>rhetor</w:t>
      </w:r>
      <w:proofErr w:type="spellEnd"/>
      <w:r w:rsidR="004A48BC">
        <w:t xml:space="preserve">. The </w:t>
      </w:r>
      <w:proofErr w:type="spellStart"/>
      <w:r w:rsidR="004A48BC">
        <w:t>rhetor</w:t>
      </w:r>
      <w:proofErr w:type="spellEnd"/>
      <w:r w:rsidR="004A48BC">
        <w:t>, the audience, the context, and the text all become inter-animated nodes that together communicate understanding in th</w:t>
      </w:r>
      <w:r w:rsidR="002D4444">
        <w:t xml:space="preserve">eir ability to co-construct each </w:t>
      </w:r>
      <w:r w:rsidR="004A48BC">
        <w:t>other and affect something new and different—greater than what existed before, what once had been separate. This is the co-</w:t>
      </w:r>
      <w:r w:rsidR="004A48BC">
        <w:lastRenderedPageBreak/>
        <w:t xml:space="preserve">construction of meaning across difference, where each necessarily provides a new and different potential for agency and power because it is first required that everything be shared. </w:t>
      </w:r>
    </w:p>
    <w:p w14:paraId="241FD327" w14:textId="77777777" w:rsidR="00D032B2" w:rsidRDefault="00D032B2" w:rsidP="00D032B2">
      <w:pPr>
        <w:spacing w:after="0" w:line="480" w:lineRule="auto"/>
        <w:ind w:firstLine="720"/>
      </w:pPr>
      <w:r>
        <w:t xml:space="preserve">Translingual scholars like Suresh </w:t>
      </w:r>
      <w:proofErr w:type="spellStart"/>
      <w:r>
        <w:t>Canagarajah</w:t>
      </w:r>
      <w:proofErr w:type="spellEnd"/>
      <w:r>
        <w:t xml:space="preserve"> have pointed out that people “are not relying on words alone for meaning. They are aligning features in the environment, such as objects, bodies, setting, and participants” (27). As Jay Jordan, however, has deftly implied, “aligning translingual composition with a material rhetorical perspective pulls the subjective ground from under composers” (375). What once were resources to be exploited for rhetorical purposes become “unexpected </w:t>
      </w:r>
      <w:proofErr w:type="spellStart"/>
      <w:r>
        <w:t>actants</w:t>
      </w:r>
      <w:proofErr w:type="spellEnd"/>
      <w:r>
        <w:t xml:space="preserve"> </w:t>
      </w:r>
      <w:proofErr w:type="spellStart"/>
      <w:r>
        <w:t>cocreating</w:t>
      </w:r>
      <w:proofErr w:type="spellEnd"/>
      <w:r>
        <w:t xml:space="preserve"> agency” through “humans-as-resources” (377). This places subjectivity immanently within a field of play that exceeds the conscious and requires immersion as well as a particular kind of extroversion. Yet, I want to suggest that rather than stripping humans of their agency, a materialist perspective can renew our sense of humanity in its emphasis on immanence. In particular, the work of the Jesuits in India constructs a counter-narrative to the friction created by the emergence of the modern self in Europe during the seventeenth century. This kind of rhetorical immanence, where rhetoric emerges between and amongst humans, non-humans, and the environment, depends upon the very difference that seems to estrange more traditional conceptions of rhetorical agency and promises new ways of being-in-the-world that re-constitute the human as always in conversation with another. Here, it becomes clear why translingualism resists language as a fixed entity. And it becomes clear why rhetoric has exceeded the physical limits of the human. As the rhetorical practice of De Nobili demonstrates, when rhetoric is practiced across borders, it requires a change that fundamentally destabilizes the rhetorical situation, taking stable notions of language and identity along with it. However, as De Nobili’s life also suggests, this does not mean that agency is lost. Rather, instead, it is found to exist within and among other things.   </w:t>
      </w:r>
    </w:p>
    <w:p w14:paraId="35E4DF6C" w14:textId="77777777" w:rsidR="007D3A81" w:rsidRDefault="00251C26" w:rsidP="007C4762">
      <w:pPr>
        <w:spacing w:after="0" w:line="480" w:lineRule="auto"/>
        <w:jc w:val="center"/>
        <w:outlineLvl w:val="0"/>
        <w:rPr>
          <w:b/>
        </w:rPr>
      </w:pPr>
      <w:r>
        <w:rPr>
          <w:b/>
        </w:rPr>
        <w:lastRenderedPageBreak/>
        <w:t>Conclusion</w:t>
      </w:r>
    </w:p>
    <w:p w14:paraId="6BC9E348" w14:textId="606F531F" w:rsidR="007D3A81" w:rsidRDefault="00251C26">
      <w:pPr>
        <w:spacing w:after="0" w:line="480" w:lineRule="auto"/>
      </w:pPr>
      <w:r>
        <w:rPr>
          <w:b/>
        </w:rPr>
        <w:tab/>
      </w:r>
      <w:r w:rsidR="002D4444">
        <w:t>Roberto de</w:t>
      </w:r>
      <w:r w:rsidR="007C4762">
        <w:t xml:space="preserve"> Nobili</w:t>
      </w:r>
      <w:r>
        <w:t xml:space="preserve">’s texts ask to be read in conversation. The information they contain is not only qualified by the author himself, but also written against itself through its very structure. In almost every way, the text asks to be taken not at its word but as a promise for more—for actions, for its audience, and for its own remaking. What does this mean for </w:t>
      </w:r>
      <w:r w:rsidR="003E43DC">
        <w:t>d</w:t>
      </w:r>
      <w:r w:rsidR="007C4762">
        <w:t>e Nobili</w:t>
      </w:r>
      <w:r>
        <w:t xml:space="preserve">’s mistake? When text is seen as defined by its enactment, monolithic in its articulation, these mistakes persist as unhappy accidents. They mark </w:t>
      </w:r>
      <w:r w:rsidR="002D4444">
        <w:t>d</w:t>
      </w:r>
      <w:r w:rsidR="007C4762">
        <w:t>e Nobili</w:t>
      </w:r>
      <w:r>
        <w:t xml:space="preserve">’s words as untrustworthy and </w:t>
      </w:r>
      <w:r w:rsidR="002D4444">
        <w:t>d</w:t>
      </w:r>
      <w:r w:rsidR="007C4762">
        <w:t>e Nobili</w:t>
      </w:r>
      <w:r>
        <w:t xml:space="preserve"> as unreliable, perhaps even dangerous. When the text is understood instead as an invitation into the mysterious Reality, where Truth exists within yet always beyond the text, where truth is both the means and form of transformation, </w:t>
      </w:r>
      <w:r w:rsidR="007C4762">
        <w:t>De Nobili</w:t>
      </w:r>
      <w:r>
        <w:t>’s mistake can also be taken as an invitat</w:t>
      </w:r>
      <w:r w:rsidR="00C40261">
        <w:t>ion</w:t>
      </w:r>
      <w:r w:rsidR="002D4444">
        <w:t>. This invitation</w:t>
      </w:r>
      <w:r w:rsidR="00C40261">
        <w:t xml:space="preserve"> draws attention to human </w:t>
      </w:r>
      <w:r w:rsidR="002D4444">
        <w:t xml:space="preserve">fallibility and </w:t>
      </w:r>
      <w:r w:rsidR="008E20F6">
        <w:t xml:space="preserve">the </w:t>
      </w:r>
      <w:r>
        <w:t xml:space="preserve">incomplete nature of the self. In this sense, it forces </w:t>
      </w:r>
      <w:r w:rsidR="008E20F6">
        <w:t xml:space="preserve">the </w:t>
      </w:r>
      <w:r w:rsidR="002D4444">
        <w:t>audience</w:t>
      </w:r>
      <w:r w:rsidR="008E20F6">
        <w:t xml:space="preserve"> to make a move and</w:t>
      </w:r>
      <w:r>
        <w:t xml:space="preserve"> participate with the author in overcoming both the self and its ambivalence. </w:t>
      </w:r>
      <w:r w:rsidR="008E20F6">
        <w:t>The text cannot solve difference</w:t>
      </w:r>
      <w:r w:rsidR="002D4444">
        <w:t>s</w:t>
      </w:r>
      <w:r w:rsidR="008E20F6">
        <w:t>. Dif</w:t>
      </w:r>
      <w:r w:rsidR="009B49B0">
        <w:t xml:space="preserve">ference pervades the act itself, especially its </w:t>
      </w:r>
      <w:r w:rsidR="008E20F6">
        <w:t>mistakes</w:t>
      </w:r>
      <w:r w:rsidR="009B49B0">
        <w:t>,</w:t>
      </w:r>
      <w:r w:rsidR="008E20F6">
        <w:t xml:space="preserve"> in order to call one outside of the self and open up a dialogue.</w:t>
      </w:r>
      <w:r w:rsidR="009B49B0">
        <w:t xml:space="preserve"> </w:t>
      </w:r>
      <w:r>
        <w:t>R</w:t>
      </w:r>
      <w:r w:rsidR="008E20F6">
        <w:t xml:space="preserve">ather than being defined by the incongruity of two perspectives, mistakes can become productive spaces for </w:t>
      </w:r>
      <w:r w:rsidR="009B49B0">
        <w:t>negotiation when t</w:t>
      </w:r>
      <w:r>
        <w:t xml:space="preserve">he burden of proof shifts away from the text and is shared between the </w:t>
      </w:r>
      <w:proofErr w:type="spellStart"/>
      <w:r>
        <w:t>rhetor</w:t>
      </w:r>
      <w:proofErr w:type="spellEnd"/>
      <w:r>
        <w:t xml:space="preserve"> and audience. The text and all parties involved are human, open to err. But this is the point—the beauty of it all. Misunderstanding is not an end but only a beginning. </w:t>
      </w:r>
    </w:p>
    <w:p w14:paraId="3B213B11" w14:textId="77463773" w:rsidR="007D3A81" w:rsidRDefault="00251C26">
      <w:pPr>
        <w:spacing w:after="0" w:line="480" w:lineRule="auto"/>
        <w:ind w:firstLine="720"/>
      </w:pPr>
      <w:r>
        <w:t xml:space="preserve">These kinds of mistakes or incongruities litter most kinds of cross-cultural work. The advances of comparative rhetoric have foregrounded this. In the </w:t>
      </w:r>
      <w:r>
        <w:rPr>
          <w:i/>
        </w:rPr>
        <w:t xml:space="preserve">RSQ </w:t>
      </w:r>
      <w:r>
        <w:t xml:space="preserve">special issue on comparative rhetoric, Swearingen attests that within new studies of rhetorical praxis across the world, what emerges as important is “An actively dialectical meta-discursive third based on ‘lived, holistic experience’ beyond the borders of the individual and national identities presents </w:t>
      </w:r>
      <w:r>
        <w:lastRenderedPageBreak/>
        <w:t xml:space="preserve">itself across the readings collected here” (307). This suggestion draws attention to the fact, for her, that “the distinction between us and them, self and other, if directed at ‘individualism’ let us say, or ‘agency,’ relies heavily upon a post-Cartesian enlightenment ideal of individual interiority” (307). This chapter builds upon the way in which Mary Garrett reads back the incongruities of comparative rhetoric upon herself, the researcher, in this issue. It picks up Dominic Ashby’s focus on facts of ‘non’-usage but rather than reading them alongside facts of usage in order to develop inside-outside positionalities, this chapter instead attempts to develop an understanding of </w:t>
      </w:r>
      <w:proofErr w:type="spellStart"/>
      <w:r>
        <w:t>rhetorics</w:t>
      </w:r>
      <w:proofErr w:type="spellEnd"/>
      <w:r>
        <w:t xml:space="preserve"> that cross cultures</w:t>
      </w:r>
      <w:r w:rsidR="008E20F6">
        <w:t xml:space="preserve"> by creating constellations of meaning</w:t>
      </w:r>
      <w:r>
        <w:t>. In contrast to Bo Wang’s “geopolitical approach” to comparative rhetorical studies, however, it suspends the interrogation of global power structures and economic systems in an attempt to resist the specter of agency and control. In other words, for the moment, it deconstructs the self/other binary by resisting the stasis of the self. This is not to suggest that the forces of economic or political systems do not act upon rhetoric or that many rhetorical acts are guided by a desire for power of some kind. But rather, this deliberate disavowal is an attempt at imagining ways that rhetorical action might reach for something other than the power of the state, the economy, or the self. The humble—perhaps overly optimistic—hope is that this might also provide a way into discovering a platform where the other can find a voice that emerges from something other than its own othering.</w:t>
      </w:r>
    </w:p>
    <w:p w14:paraId="6CCF502C" w14:textId="0F6A6E0B" w:rsidR="007D3A81" w:rsidRDefault="00251C26" w:rsidP="008E20F6">
      <w:pPr>
        <w:spacing w:after="0" w:line="480" w:lineRule="auto"/>
        <w:ind w:firstLine="720"/>
        <w:sectPr w:rsidR="007D3A81">
          <w:headerReference w:type="even" r:id="rId7"/>
          <w:headerReference w:type="default" r:id="rId8"/>
          <w:endnotePr>
            <w:numFmt w:val="decimal"/>
          </w:endnotePr>
          <w:pgSz w:w="12240" w:h="15840"/>
          <w:pgMar w:top="1440" w:right="1440" w:bottom="1440" w:left="1440" w:header="0" w:footer="720" w:gutter="0"/>
          <w:pgNumType w:start="1"/>
          <w:cols w:space="720"/>
        </w:sectPr>
      </w:pPr>
      <w:r>
        <w:t xml:space="preserve">This chapter is also an attempt at recovering a more generous treatment of Christian rhetoric as liberating rather than limiting. By reading the work of </w:t>
      </w:r>
      <w:r w:rsidR="007C4762">
        <w:t>De Nobili</w:t>
      </w:r>
      <w:r>
        <w:t xml:space="preserve"> through his </w:t>
      </w:r>
      <w:r w:rsidR="00F30FBA">
        <w:t>religious beliefs,</w:t>
      </w:r>
      <w:r>
        <w:t xml:space="preserve"> it becomes easier to see how his Christian faith motivated his rhetorical action. Furthermore, it be</w:t>
      </w:r>
      <w:r w:rsidR="00040E14">
        <w:t>comes easier to see how religious rhetoric</w:t>
      </w:r>
      <w:r>
        <w:t xml:space="preserve"> might be able to function successfully when our notions of rhetoric and rhetorical power shift</w:t>
      </w:r>
      <w:r w:rsidR="008E20F6">
        <w:t xml:space="preserve"> to include religious </w:t>
      </w:r>
      <w:r w:rsidR="008E20F6">
        <w:lastRenderedPageBreak/>
        <w:t>frameworks</w:t>
      </w:r>
      <w:r>
        <w:t>. Furt</w:t>
      </w:r>
      <w:r w:rsidR="004F1EB8">
        <w:t>hermore, when we move beyond the religious</w:t>
      </w:r>
      <w:r>
        <w:t>, we can begin to see the ethical implications embedded within cross-cultural work</w:t>
      </w:r>
      <w:r w:rsidR="004F1EB8">
        <w:t>—</w:t>
      </w:r>
      <w:r>
        <w:t xml:space="preserve">the way in which the ethics of engagement define the success and failure of cross-cultural rhetoric. These are ethical implications that scholars like </w:t>
      </w:r>
      <w:proofErr w:type="spellStart"/>
      <w:r>
        <w:t>Xiaoye</w:t>
      </w:r>
      <w:proofErr w:type="spellEnd"/>
      <w:r>
        <w:t xml:space="preserve"> You have recently fought for within rhetorical studies. As rhetoric continues to engage people across borders and the power structures that many other rheto</w:t>
      </w:r>
      <w:r w:rsidR="0013078C">
        <w:t>ricians have focused on</w:t>
      </w:r>
      <w:r>
        <w:t xml:space="preserve">, the ethical if not religious valences of rhetorical work must continue to be pursued. The work of </w:t>
      </w:r>
      <w:r w:rsidR="008E20F6">
        <w:t>d</w:t>
      </w:r>
      <w:r w:rsidR="007C4762">
        <w:t>e Nobili</w:t>
      </w:r>
      <w:r>
        <w:t xml:space="preserve"> provides one way to interpret the possibilities of this future in spite of and perhaps even because of</w:t>
      </w:r>
      <w:r>
        <w:rPr>
          <w:i/>
        </w:rPr>
        <w:t xml:space="preserve"> </w:t>
      </w:r>
      <w:r>
        <w:t>its dangers.</w:t>
      </w:r>
      <w:r w:rsidR="004221D3">
        <w:t xml:space="preserve"> When incongruity is placed at the dialectic heart of rhetoric, then, a reimagined ethics of cross-cultural exchange reconfigure current conceptions of rhetorical agency as well. To follow </w:t>
      </w:r>
      <w:r w:rsidR="007C4762">
        <w:t>De Nobili</w:t>
      </w:r>
      <w:r w:rsidR="004221D3">
        <w:t xml:space="preserve"> beyond the outer limits of the self requires me to repeat a similar move that rhetoricians have recently made to conceptualize rhetoric as embodied, taking place across time within material ecologies, and connect this move to work that crosses more identifiable cultural borders. </w:t>
      </w:r>
    </w:p>
    <w:p w14:paraId="22FD10C2" w14:textId="77777777" w:rsidR="008E20F6" w:rsidRDefault="008E20F6">
      <w:r>
        <w:lastRenderedPageBreak/>
        <w:br w:type="page"/>
      </w:r>
    </w:p>
    <w:p w14:paraId="68439D3F" w14:textId="27CA9D30" w:rsidR="007D3A81" w:rsidRDefault="00251C26" w:rsidP="007C4762">
      <w:pPr>
        <w:spacing w:after="0" w:line="480" w:lineRule="auto"/>
        <w:jc w:val="center"/>
        <w:outlineLvl w:val="0"/>
      </w:pPr>
      <w:r>
        <w:lastRenderedPageBreak/>
        <w:t>Works Cited</w:t>
      </w:r>
    </w:p>
    <w:p w14:paraId="19E07FD0" w14:textId="4AE54A46" w:rsidR="00A62531" w:rsidRDefault="00A62531" w:rsidP="003E17CE">
      <w:pPr>
        <w:spacing w:after="0" w:line="480" w:lineRule="auto"/>
        <w:ind w:left="720" w:hanging="720"/>
        <w:rPr>
          <w:highlight w:val="white"/>
        </w:rPr>
      </w:pPr>
      <w:proofErr w:type="spellStart"/>
      <w:r>
        <w:t>Amaladass</w:t>
      </w:r>
      <w:proofErr w:type="spellEnd"/>
      <w:r>
        <w:t xml:space="preserve">, </w:t>
      </w:r>
      <w:proofErr w:type="spellStart"/>
      <w:r>
        <w:t>Anand</w:t>
      </w:r>
      <w:proofErr w:type="spellEnd"/>
      <w:r>
        <w:t xml:space="preserve">, and Francis X. Clooney. “Introduction.” </w:t>
      </w:r>
      <w:r>
        <w:rPr>
          <w:i/>
        </w:rPr>
        <w:t>Preaching Wisdom to the Wise: Three Treatises</w:t>
      </w:r>
      <w:r>
        <w:t>. Saint Louis: Institute of Jesuit Sources, 2000, 233-303.</w:t>
      </w:r>
    </w:p>
    <w:p w14:paraId="2045CD72" w14:textId="77777777" w:rsidR="003E17CE" w:rsidRDefault="004F1EB8" w:rsidP="003E17CE">
      <w:pPr>
        <w:spacing w:after="0" w:line="480" w:lineRule="auto"/>
        <w:ind w:left="720" w:hanging="720"/>
        <w:rPr>
          <w:highlight w:val="white"/>
        </w:rPr>
      </w:pPr>
      <w:proofErr w:type="spellStart"/>
      <w:r>
        <w:rPr>
          <w:highlight w:val="white"/>
        </w:rPr>
        <w:t>Amo</w:t>
      </w:r>
      <w:r w:rsidR="00251C26">
        <w:rPr>
          <w:highlight w:val="white"/>
        </w:rPr>
        <w:t>rose</w:t>
      </w:r>
      <w:proofErr w:type="spellEnd"/>
      <w:r w:rsidR="00251C26">
        <w:rPr>
          <w:highlight w:val="white"/>
        </w:rPr>
        <w:t xml:space="preserve">, Thomas. “Resistance to Rhetoric in Christian Tradition.” </w:t>
      </w:r>
      <w:r w:rsidR="00251C26">
        <w:rPr>
          <w:i/>
          <w:highlight w:val="white"/>
        </w:rPr>
        <w:t>Renovating Rhetoric in Christian Tradition</w:t>
      </w:r>
      <w:r w:rsidR="00251C26">
        <w:rPr>
          <w:highlight w:val="white"/>
        </w:rPr>
        <w:t>. Vander Lei, Elizabeth, et al., eds. University of Pittsburgh Press, 2014.</w:t>
      </w:r>
    </w:p>
    <w:p w14:paraId="453BAD44" w14:textId="30E755E6" w:rsidR="00EA7330" w:rsidRPr="00EA7330" w:rsidRDefault="00EA7330" w:rsidP="003E17CE">
      <w:pPr>
        <w:spacing w:after="0" w:line="480" w:lineRule="auto"/>
        <w:ind w:left="720" w:hanging="720"/>
        <w:rPr>
          <w:highlight w:val="white"/>
        </w:rPr>
      </w:pPr>
      <w:r w:rsidRPr="00EA7330">
        <w:rPr>
          <w:highlight w:val="white"/>
        </w:rPr>
        <w:t>Anson, Chris. “Response Styles and Ways of Knowing.” </w:t>
      </w:r>
      <w:r w:rsidRPr="00EA7330">
        <w:rPr>
          <w:i/>
          <w:iCs/>
          <w:highlight w:val="white"/>
        </w:rPr>
        <w:t>Writing and Response: Theory, Practice, and Research</w:t>
      </w:r>
      <w:r w:rsidRPr="00EA7330">
        <w:rPr>
          <w:highlight w:val="white"/>
        </w:rPr>
        <w:t>. Ed. Chris Anson. Urbana: NCTE, 1989. 332-366. Print.</w:t>
      </w:r>
    </w:p>
    <w:p w14:paraId="488148F7" w14:textId="6C829088" w:rsidR="007B405C" w:rsidRPr="007B405C" w:rsidRDefault="007B405C" w:rsidP="007B405C">
      <w:pPr>
        <w:spacing w:after="0" w:line="480" w:lineRule="auto"/>
        <w:ind w:left="720" w:hanging="720"/>
        <w:rPr>
          <w:highlight w:val="white"/>
        </w:rPr>
      </w:pPr>
      <w:proofErr w:type="spellStart"/>
      <w:r w:rsidRPr="007B405C">
        <w:rPr>
          <w:rFonts w:hint="eastAsia"/>
          <w:highlight w:val="white"/>
        </w:rPr>
        <w:t>Arokiasamy</w:t>
      </w:r>
      <w:proofErr w:type="spellEnd"/>
      <w:r w:rsidRPr="007B405C">
        <w:rPr>
          <w:rFonts w:hint="eastAsia"/>
          <w:highlight w:val="white"/>
        </w:rPr>
        <w:t xml:space="preserve">, </w:t>
      </w:r>
      <w:proofErr w:type="spellStart"/>
      <w:r w:rsidRPr="007B405C">
        <w:rPr>
          <w:rFonts w:hint="eastAsia"/>
          <w:highlight w:val="white"/>
        </w:rPr>
        <w:t>Soosai</w:t>
      </w:r>
      <w:proofErr w:type="spellEnd"/>
      <w:r w:rsidRPr="007B405C">
        <w:rPr>
          <w:rFonts w:hint="eastAsia"/>
          <w:highlight w:val="white"/>
        </w:rPr>
        <w:t>. </w:t>
      </w:r>
      <w:r w:rsidRPr="007B405C">
        <w:rPr>
          <w:rFonts w:hint="eastAsia"/>
          <w:i/>
          <w:iCs/>
          <w:highlight w:val="white"/>
        </w:rPr>
        <w:t>Dharma, Hindu and Christian According to Roberto De Nobili: Analysis of Its Meaning and Its Use in Hinduism and Christianity</w:t>
      </w:r>
      <w:r>
        <w:rPr>
          <w:rFonts w:hint="eastAsia"/>
          <w:highlight w:val="white"/>
        </w:rPr>
        <w:t>. Rome</w:t>
      </w:r>
      <w:r w:rsidRPr="007B405C">
        <w:rPr>
          <w:rFonts w:hint="eastAsia"/>
          <w:highlight w:val="white"/>
        </w:rPr>
        <w:t xml:space="preserve">: </w:t>
      </w:r>
      <w:proofErr w:type="spellStart"/>
      <w:r w:rsidRPr="007B405C">
        <w:rPr>
          <w:rFonts w:hint="eastAsia"/>
          <w:highlight w:val="white"/>
        </w:rPr>
        <w:t>Pontificia</w:t>
      </w:r>
      <w:proofErr w:type="spellEnd"/>
      <w:r w:rsidRPr="007B405C">
        <w:rPr>
          <w:rFonts w:hint="eastAsia"/>
          <w:highlight w:val="white"/>
        </w:rPr>
        <w:t xml:space="preserve"> </w:t>
      </w:r>
      <w:proofErr w:type="spellStart"/>
      <w:r w:rsidRPr="007B405C">
        <w:rPr>
          <w:rFonts w:hint="eastAsia"/>
          <w:highlight w:val="white"/>
        </w:rPr>
        <w:t>Univ</w:t>
      </w:r>
      <w:r>
        <w:rPr>
          <w:rFonts w:hint="eastAsia"/>
          <w:highlight w:val="white"/>
        </w:rPr>
        <w:t>ersita</w:t>
      </w:r>
      <w:proofErr w:type="spellEnd"/>
      <w:r>
        <w:rPr>
          <w:rFonts w:hint="eastAsia"/>
          <w:highlight w:val="white"/>
        </w:rPr>
        <w:t xml:space="preserve">̀ </w:t>
      </w:r>
      <w:proofErr w:type="spellStart"/>
      <w:r>
        <w:rPr>
          <w:rFonts w:hint="eastAsia"/>
          <w:highlight w:val="white"/>
        </w:rPr>
        <w:t>Gregoriana</w:t>
      </w:r>
      <w:proofErr w:type="spellEnd"/>
      <w:r>
        <w:rPr>
          <w:rFonts w:hint="eastAsia"/>
          <w:highlight w:val="white"/>
        </w:rPr>
        <w:t xml:space="preserve">, 1986. </w:t>
      </w:r>
    </w:p>
    <w:p w14:paraId="5886F212" w14:textId="77777777" w:rsidR="004A3BCC" w:rsidRDefault="00251C26" w:rsidP="004A3BCC">
      <w:pPr>
        <w:spacing w:after="0" w:line="480" w:lineRule="auto"/>
        <w:ind w:left="720" w:hanging="720"/>
      </w:pPr>
      <w:r>
        <w:rPr>
          <w:highlight w:val="white"/>
        </w:rPr>
        <w:t>Ashby, Dominic. "</w:t>
      </w:r>
      <w:proofErr w:type="spellStart"/>
      <w:r>
        <w:rPr>
          <w:highlight w:val="white"/>
        </w:rPr>
        <w:t>Uchi</w:t>
      </w:r>
      <w:proofErr w:type="spellEnd"/>
      <w:r>
        <w:rPr>
          <w:highlight w:val="white"/>
        </w:rPr>
        <w:t xml:space="preserve">/Soto in Japan: A Global Turn." </w:t>
      </w:r>
      <w:r>
        <w:rPr>
          <w:i/>
        </w:rPr>
        <w:t>Rhetoric Society Quarterly</w:t>
      </w:r>
      <w:r>
        <w:rPr>
          <w:highlight w:val="white"/>
        </w:rPr>
        <w:t xml:space="preserve"> 43.3 (2013): 256-269.</w:t>
      </w:r>
    </w:p>
    <w:p w14:paraId="3E53AFD0" w14:textId="6F487A21" w:rsidR="00BA5756" w:rsidRDefault="00BA5756" w:rsidP="004A3BCC">
      <w:pPr>
        <w:spacing w:after="0" w:line="480" w:lineRule="auto"/>
        <w:ind w:left="720" w:hanging="720"/>
        <w:rPr>
          <w:bCs/>
          <w:highlight w:val="white"/>
        </w:rPr>
      </w:pPr>
      <w:r w:rsidRPr="00BA5756">
        <w:rPr>
          <w:bCs/>
        </w:rPr>
        <w:t>Bernard-</w:t>
      </w:r>
      <w:proofErr w:type="spellStart"/>
      <w:r w:rsidRPr="00BA5756">
        <w:rPr>
          <w:bCs/>
        </w:rPr>
        <w:t>Donals</w:t>
      </w:r>
      <w:proofErr w:type="spellEnd"/>
      <w:r w:rsidRPr="00BA5756">
        <w:rPr>
          <w:bCs/>
        </w:rPr>
        <w:t xml:space="preserve">, Michael, and Janice W. </w:t>
      </w:r>
      <w:proofErr w:type="spellStart"/>
      <w:r w:rsidRPr="00BA5756">
        <w:rPr>
          <w:bCs/>
        </w:rPr>
        <w:t>Fernheimer</w:t>
      </w:r>
      <w:proofErr w:type="spellEnd"/>
      <w:r w:rsidRPr="00BA5756">
        <w:rPr>
          <w:bCs/>
        </w:rPr>
        <w:t xml:space="preserve">. “Introduction.” </w:t>
      </w:r>
      <w:r w:rsidRPr="00BA5756">
        <w:rPr>
          <w:bCs/>
          <w:i/>
        </w:rPr>
        <w:t xml:space="preserve">Jewish </w:t>
      </w:r>
      <w:proofErr w:type="spellStart"/>
      <w:r w:rsidRPr="00BA5756">
        <w:rPr>
          <w:bCs/>
          <w:i/>
        </w:rPr>
        <w:t>Rhetorics</w:t>
      </w:r>
      <w:proofErr w:type="spellEnd"/>
      <w:r w:rsidRPr="00BA5756">
        <w:rPr>
          <w:bCs/>
          <w:i/>
        </w:rPr>
        <w:t>: History, Theory, and Practice</w:t>
      </w:r>
      <w:r w:rsidRPr="00BA5756">
        <w:rPr>
          <w:bCs/>
        </w:rPr>
        <w:t>. Eds. Michael Bernard-</w:t>
      </w:r>
      <w:proofErr w:type="spellStart"/>
      <w:r w:rsidRPr="00BA5756">
        <w:rPr>
          <w:bCs/>
        </w:rPr>
        <w:t>Donals</w:t>
      </w:r>
      <w:proofErr w:type="spellEnd"/>
      <w:r w:rsidRPr="00BA5756">
        <w:rPr>
          <w:bCs/>
        </w:rPr>
        <w:t xml:space="preserve"> and Janice W. </w:t>
      </w:r>
      <w:proofErr w:type="spellStart"/>
      <w:r w:rsidRPr="00BA5756">
        <w:rPr>
          <w:bCs/>
        </w:rPr>
        <w:t>Fernheimer</w:t>
      </w:r>
      <w:proofErr w:type="spellEnd"/>
      <w:r w:rsidRPr="00BA5756">
        <w:rPr>
          <w:bCs/>
        </w:rPr>
        <w:t>. Waltham, MA: Brandeis UP, 2014. vii-xxx.</w:t>
      </w:r>
    </w:p>
    <w:p w14:paraId="47C427D9" w14:textId="59B134A5" w:rsidR="00FA7E8E" w:rsidRPr="00FA7E8E" w:rsidRDefault="00FA7E8E" w:rsidP="004A3BCC">
      <w:pPr>
        <w:spacing w:after="0" w:line="480" w:lineRule="auto"/>
        <w:ind w:left="720" w:hanging="720"/>
        <w:rPr>
          <w:bCs/>
          <w:highlight w:val="white"/>
        </w:rPr>
      </w:pPr>
      <w:r>
        <w:rPr>
          <w:bCs/>
          <w:highlight w:val="white"/>
        </w:rPr>
        <w:t xml:space="preserve">Bertrand, Joseph. </w:t>
      </w:r>
      <w:r>
        <w:rPr>
          <w:bCs/>
          <w:i/>
          <w:highlight w:val="white"/>
        </w:rPr>
        <w:t xml:space="preserve">La Mission du </w:t>
      </w:r>
      <w:proofErr w:type="spellStart"/>
      <w:r>
        <w:rPr>
          <w:bCs/>
          <w:i/>
          <w:highlight w:val="white"/>
        </w:rPr>
        <w:t>Maduré</w:t>
      </w:r>
      <w:proofErr w:type="spellEnd"/>
      <w:r>
        <w:rPr>
          <w:bCs/>
          <w:i/>
          <w:highlight w:val="white"/>
        </w:rPr>
        <w:t xml:space="preserve">, 4 vols. </w:t>
      </w:r>
      <w:r>
        <w:rPr>
          <w:bCs/>
          <w:highlight w:val="white"/>
        </w:rPr>
        <w:t>Paris, 1847-1854.</w:t>
      </w:r>
    </w:p>
    <w:p w14:paraId="52B89C10" w14:textId="4C019134" w:rsidR="004A3BCC" w:rsidRPr="004A3BCC" w:rsidRDefault="004A3BCC" w:rsidP="004A3BCC">
      <w:pPr>
        <w:spacing w:after="0" w:line="480" w:lineRule="auto"/>
        <w:ind w:left="720" w:hanging="720"/>
      </w:pPr>
      <w:proofErr w:type="spellStart"/>
      <w:r w:rsidRPr="004A3BCC">
        <w:rPr>
          <w:bCs/>
          <w:highlight w:val="white"/>
        </w:rPr>
        <w:t>Bizzell</w:t>
      </w:r>
      <w:proofErr w:type="spellEnd"/>
      <w:r w:rsidRPr="004A3BCC">
        <w:rPr>
          <w:bCs/>
          <w:highlight w:val="white"/>
        </w:rPr>
        <w:t>, Patricia. “Faith-Based Worldviews as a Challenge to the Believing Game.” </w:t>
      </w:r>
      <w:r w:rsidRPr="004A3BCC">
        <w:rPr>
          <w:bCs/>
          <w:i/>
          <w:iCs/>
          <w:highlight w:val="white"/>
        </w:rPr>
        <w:t>JAEPL </w:t>
      </w:r>
      <w:r w:rsidRPr="004A3BCC">
        <w:rPr>
          <w:bCs/>
          <w:highlight w:val="white"/>
        </w:rPr>
        <w:t>14.2 (2008-09): 29-35. Print.</w:t>
      </w:r>
    </w:p>
    <w:p w14:paraId="7733B415" w14:textId="1A1B14E8" w:rsidR="00177C37" w:rsidRPr="00177C37" w:rsidRDefault="00177C37" w:rsidP="00177C37">
      <w:pPr>
        <w:spacing w:after="0" w:line="480" w:lineRule="auto"/>
        <w:ind w:left="720" w:hanging="720"/>
      </w:pPr>
      <w:r w:rsidRPr="00177C37">
        <w:rPr>
          <w:rFonts w:hint="eastAsia"/>
        </w:rPr>
        <w:t>Black, Brian, and Laurie L. Patton. </w:t>
      </w:r>
      <w:r w:rsidRPr="00177C37">
        <w:rPr>
          <w:rFonts w:hint="eastAsia"/>
          <w:i/>
          <w:iCs/>
        </w:rPr>
        <w:t>Dialogue in Early South Asian Religions: Hindu, Buddhist, and Jain Traditions</w:t>
      </w:r>
      <w:r>
        <w:rPr>
          <w:rFonts w:hint="eastAsia"/>
        </w:rPr>
        <w:t>.</w:t>
      </w:r>
      <w:r>
        <w:t xml:space="preserve"> Birmingham: </w:t>
      </w:r>
      <w:proofErr w:type="spellStart"/>
      <w:r>
        <w:t>Ashgate</w:t>
      </w:r>
      <w:proofErr w:type="spellEnd"/>
      <w:r>
        <w:t>,</w:t>
      </w:r>
      <w:r w:rsidRPr="00177C37">
        <w:rPr>
          <w:rFonts w:hint="eastAsia"/>
        </w:rPr>
        <w:t xml:space="preserve"> 2015. Print.</w:t>
      </w:r>
    </w:p>
    <w:p w14:paraId="32771608" w14:textId="1890C1D3" w:rsidR="00EA7330" w:rsidRPr="003E17CE" w:rsidRDefault="00EA7330" w:rsidP="00177C37">
      <w:pPr>
        <w:spacing w:after="0" w:line="480" w:lineRule="auto"/>
        <w:ind w:left="720" w:hanging="720"/>
      </w:pPr>
      <w:proofErr w:type="spellStart"/>
      <w:r w:rsidRPr="00EA7330">
        <w:rPr>
          <w:highlight w:val="white"/>
        </w:rPr>
        <w:t>Bleich</w:t>
      </w:r>
      <w:proofErr w:type="spellEnd"/>
      <w:r w:rsidRPr="00EA7330">
        <w:rPr>
          <w:highlight w:val="white"/>
        </w:rPr>
        <w:t>, David. “Literacy and Citizenship: Resisting Social Values.” </w:t>
      </w:r>
      <w:r w:rsidRPr="00EA7330">
        <w:rPr>
          <w:i/>
          <w:iCs/>
          <w:highlight w:val="white"/>
        </w:rPr>
        <w:t>The Right to Literacy. </w:t>
      </w:r>
      <w:r w:rsidRPr="00EA7330">
        <w:rPr>
          <w:highlight w:val="white"/>
        </w:rPr>
        <w:t xml:space="preserve">Eds. Andrea A. Lunsford, Helene </w:t>
      </w:r>
      <w:proofErr w:type="spellStart"/>
      <w:r w:rsidRPr="00EA7330">
        <w:rPr>
          <w:highlight w:val="white"/>
        </w:rPr>
        <w:t>Moglen</w:t>
      </w:r>
      <w:proofErr w:type="spellEnd"/>
      <w:r w:rsidRPr="00EA7330">
        <w:rPr>
          <w:highlight w:val="white"/>
        </w:rPr>
        <w:t xml:space="preserve">, and James </w:t>
      </w:r>
      <w:proofErr w:type="spellStart"/>
      <w:r w:rsidRPr="00EA7330">
        <w:rPr>
          <w:highlight w:val="white"/>
        </w:rPr>
        <w:t>Slevin</w:t>
      </w:r>
      <w:proofErr w:type="spellEnd"/>
      <w:r w:rsidRPr="00EA7330">
        <w:rPr>
          <w:highlight w:val="white"/>
        </w:rPr>
        <w:t>. NY: MLA, 1990. 163-169. Print.</w:t>
      </w:r>
    </w:p>
    <w:p w14:paraId="5EBB49DA" w14:textId="79DBEB4B" w:rsidR="00B6088B" w:rsidRPr="00B6088B" w:rsidRDefault="00B6088B" w:rsidP="00083F86">
      <w:pPr>
        <w:spacing w:after="0" w:line="480" w:lineRule="auto"/>
        <w:ind w:left="720" w:hanging="720"/>
        <w:rPr>
          <w:highlight w:val="white"/>
        </w:rPr>
      </w:pPr>
      <w:proofErr w:type="spellStart"/>
      <w:r>
        <w:rPr>
          <w:highlight w:val="white"/>
        </w:rPr>
        <w:lastRenderedPageBreak/>
        <w:t>Buccerio</w:t>
      </w:r>
      <w:proofErr w:type="spellEnd"/>
      <w:r>
        <w:rPr>
          <w:highlight w:val="white"/>
        </w:rPr>
        <w:t xml:space="preserve">, A. </w:t>
      </w:r>
      <w:proofErr w:type="spellStart"/>
      <w:r>
        <w:rPr>
          <w:i/>
          <w:highlight w:val="white"/>
        </w:rPr>
        <w:t>Informacão</w:t>
      </w:r>
      <w:proofErr w:type="spellEnd"/>
      <w:r>
        <w:rPr>
          <w:i/>
          <w:highlight w:val="white"/>
        </w:rPr>
        <w:t xml:space="preserve"> do </w:t>
      </w:r>
      <w:proofErr w:type="spellStart"/>
      <w:r>
        <w:rPr>
          <w:i/>
          <w:highlight w:val="white"/>
        </w:rPr>
        <w:t>Missão</w:t>
      </w:r>
      <w:proofErr w:type="spellEnd"/>
      <w:r>
        <w:rPr>
          <w:i/>
          <w:highlight w:val="white"/>
        </w:rPr>
        <w:t xml:space="preserve"> de </w:t>
      </w:r>
      <w:proofErr w:type="spellStart"/>
      <w:r>
        <w:rPr>
          <w:i/>
          <w:highlight w:val="white"/>
        </w:rPr>
        <w:t>Maduré</w:t>
      </w:r>
      <w:proofErr w:type="spellEnd"/>
      <w:r>
        <w:rPr>
          <w:i/>
          <w:highlight w:val="white"/>
        </w:rPr>
        <w:t xml:space="preserve"> </w:t>
      </w:r>
      <w:proofErr w:type="spellStart"/>
      <w:r>
        <w:rPr>
          <w:i/>
          <w:highlight w:val="white"/>
        </w:rPr>
        <w:t>Re.</w:t>
      </w:r>
      <w:proofErr w:type="gramStart"/>
      <w:r>
        <w:rPr>
          <w:i/>
          <w:highlight w:val="white"/>
        </w:rPr>
        <w:t>O.Mto</w:t>
      </w:r>
      <w:proofErr w:type="spellEnd"/>
      <w:proofErr w:type="gramEnd"/>
      <w:r>
        <w:rPr>
          <w:i/>
          <w:highlight w:val="white"/>
        </w:rPr>
        <w:t xml:space="preserve">. R. </w:t>
      </w:r>
      <w:proofErr w:type="spellStart"/>
      <w:r>
        <w:rPr>
          <w:i/>
          <w:highlight w:val="white"/>
        </w:rPr>
        <w:t>Em</w:t>
      </w:r>
      <w:proofErr w:type="spellEnd"/>
      <w:r>
        <w:rPr>
          <w:i/>
          <w:highlight w:val="white"/>
        </w:rPr>
        <w:t xml:space="preserve"> </w:t>
      </w:r>
      <w:proofErr w:type="spellStart"/>
      <w:r>
        <w:rPr>
          <w:i/>
          <w:highlight w:val="white"/>
        </w:rPr>
        <w:t>Chto</w:t>
      </w:r>
      <w:proofErr w:type="spellEnd"/>
      <w:r>
        <w:rPr>
          <w:i/>
          <w:highlight w:val="white"/>
        </w:rPr>
        <w:t xml:space="preserve"> Padre </w:t>
      </w:r>
      <w:proofErr w:type="spellStart"/>
      <w:r>
        <w:rPr>
          <w:i/>
          <w:highlight w:val="white"/>
        </w:rPr>
        <w:t>Ao</w:t>
      </w:r>
      <w:proofErr w:type="spellEnd"/>
      <w:r>
        <w:rPr>
          <w:i/>
          <w:highlight w:val="white"/>
        </w:rPr>
        <w:t xml:space="preserve"> </w:t>
      </w:r>
      <w:proofErr w:type="spellStart"/>
      <w:r>
        <w:rPr>
          <w:i/>
          <w:highlight w:val="white"/>
        </w:rPr>
        <w:t>Geral</w:t>
      </w:r>
      <w:proofErr w:type="spellEnd"/>
      <w:r>
        <w:rPr>
          <w:i/>
          <w:highlight w:val="white"/>
        </w:rPr>
        <w:t xml:space="preserve"> Claudio </w:t>
      </w:r>
      <w:proofErr w:type="spellStart"/>
      <w:r>
        <w:rPr>
          <w:i/>
          <w:highlight w:val="white"/>
        </w:rPr>
        <w:t>Acquaviva</w:t>
      </w:r>
      <w:proofErr w:type="spellEnd"/>
      <w:r>
        <w:rPr>
          <w:highlight w:val="white"/>
        </w:rPr>
        <w:t>. 30 October 1610. ARSI, Goa. Vol 51.</w:t>
      </w:r>
    </w:p>
    <w:p w14:paraId="414EAC3C" w14:textId="77777777" w:rsidR="0023408D" w:rsidRPr="00FA104F" w:rsidRDefault="0023408D" w:rsidP="0023408D">
      <w:pPr>
        <w:spacing w:after="0" w:line="480" w:lineRule="auto"/>
        <w:ind w:left="720" w:hanging="720"/>
        <w:rPr>
          <w:highlight w:val="white"/>
        </w:rPr>
      </w:pPr>
      <w:proofErr w:type="spellStart"/>
      <w:r w:rsidRPr="00FA104F">
        <w:rPr>
          <w:bCs/>
          <w:highlight w:val="white"/>
        </w:rPr>
        <w:t>Buley</w:t>
      </w:r>
      <w:proofErr w:type="spellEnd"/>
      <w:r w:rsidRPr="00FA104F">
        <w:rPr>
          <w:bCs/>
          <w:highlight w:val="white"/>
        </w:rPr>
        <w:t xml:space="preserve">-Meissner, Mary Louise, Mary </w:t>
      </w:r>
      <w:proofErr w:type="spellStart"/>
      <w:r w:rsidRPr="00FA104F">
        <w:rPr>
          <w:bCs/>
          <w:highlight w:val="white"/>
        </w:rPr>
        <w:t>McCaslin</w:t>
      </w:r>
      <w:proofErr w:type="spellEnd"/>
      <w:r w:rsidRPr="00FA104F">
        <w:rPr>
          <w:bCs/>
          <w:highlight w:val="white"/>
        </w:rPr>
        <w:t xml:space="preserve"> Thompson, and Elizabeth </w:t>
      </w:r>
      <w:proofErr w:type="spellStart"/>
      <w:r w:rsidRPr="00FA104F">
        <w:rPr>
          <w:bCs/>
          <w:highlight w:val="white"/>
        </w:rPr>
        <w:t>Bachrach</w:t>
      </w:r>
      <w:proofErr w:type="spellEnd"/>
      <w:r w:rsidRPr="00FA104F">
        <w:rPr>
          <w:bCs/>
          <w:highlight w:val="white"/>
        </w:rPr>
        <w:t xml:space="preserve"> Tan. </w:t>
      </w:r>
      <w:r w:rsidRPr="00FA104F">
        <w:rPr>
          <w:bCs/>
          <w:i/>
          <w:iCs/>
          <w:highlight w:val="white"/>
        </w:rPr>
        <w:t>The Academy and the Possibility of Belief</w:t>
      </w:r>
      <w:r w:rsidRPr="00FA104F">
        <w:rPr>
          <w:bCs/>
          <w:highlight w:val="white"/>
        </w:rPr>
        <w:t>: </w:t>
      </w:r>
      <w:r w:rsidRPr="00FA104F">
        <w:rPr>
          <w:bCs/>
          <w:i/>
          <w:iCs/>
          <w:highlight w:val="white"/>
        </w:rPr>
        <w:t>Essays on Intellectual and Spiritual Life. </w:t>
      </w:r>
      <w:r w:rsidRPr="00FA104F">
        <w:rPr>
          <w:bCs/>
          <w:highlight w:val="white"/>
        </w:rPr>
        <w:t xml:space="preserve">Ed. </w:t>
      </w:r>
      <w:proofErr w:type="spellStart"/>
      <w:r w:rsidRPr="00FA104F">
        <w:rPr>
          <w:bCs/>
          <w:highlight w:val="white"/>
        </w:rPr>
        <w:t>Creskill</w:t>
      </w:r>
      <w:proofErr w:type="spellEnd"/>
      <w:r w:rsidRPr="00FA104F">
        <w:rPr>
          <w:bCs/>
          <w:highlight w:val="white"/>
        </w:rPr>
        <w:t>: Hampton Press, 2000. 85-104. Print.</w:t>
      </w:r>
    </w:p>
    <w:p w14:paraId="2735B0D4" w14:textId="77777777" w:rsidR="007D3A81" w:rsidRDefault="00251C26" w:rsidP="00083F86">
      <w:pPr>
        <w:spacing w:after="0" w:line="480" w:lineRule="auto"/>
        <w:ind w:left="720" w:hanging="720"/>
        <w:rPr>
          <w:highlight w:val="white"/>
        </w:rPr>
      </w:pPr>
      <w:proofErr w:type="spellStart"/>
      <w:r>
        <w:rPr>
          <w:highlight w:val="white"/>
        </w:rPr>
        <w:t>Canagarajah</w:t>
      </w:r>
      <w:proofErr w:type="spellEnd"/>
      <w:r>
        <w:rPr>
          <w:highlight w:val="white"/>
        </w:rPr>
        <w:t xml:space="preserve">, A. S. </w:t>
      </w:r>
      <w:r>
        <w:rPr>
          <w:i/>
          <w:highlight w:val="white"/>
        </w:rPr>
        <w:t xml:space="preserve">Translingual Practice: Global </w:t>
      </w:r>
      <w:proofErr w:type="spellStart"/>
      <w:r>
        <w:rPr>
          <w:i/>
          <w:highlight w:val="white"/>
        </w:rPr>
        <w:t>Englishes</w:t>
      </w:r>
      <w:proofErr w:type="spellEnd"/>
      <w:r>
        <w:rPr>
          <w:i/>
          <w:highlight w:val="white"/>
        </w:rPr>
        <w:t xml:space="preserve"> and Cosmopolitan Relations</w:t>
      </w:r>
      <w:r>
        <w:rPr>
          <w:highlight w:val="white"/>
        </w:rPr>
        <w:t xml:space="preserve">. London/New York: Routledge. 2013. </w:t>
      </w:r>
    </w:p>
    <w:p w14:paraId="2E3A4D89" w14:textId="77777777" w:rsidR="003E17CE" w:rsidRDefault="00B81FA7" w:rsidP="003E17CE">
      <w:pPr>
        <w:spacing w:after="0" w:line="480" w:lineRule="auto"/>
        <w:ind w:left="720" w:hanging="720"/>
      </w:pPr>
      <w:r w:rsidRPr="00B81FA7">
        <w:t xml:space="preserve">Clooney, Francis X. </w:t>
      </w:r>
      <w:r w:rsidRPr="00B81FA7">
        <w:rPr>
          <w:i/>
        </w:rPr>
        <w:t>Hindu God, Christian God: How Reason Helps Break Down the Boundaries between Religions.</w:t>
      </w:r>
      <w:r w:rsidRPr="00B81FA7">
        <w:t xml:space="preserve"> Oxford: Oxford University Press, 2010. Print.</w:t>
      </w:r>
    </w:p>
    <w:p w14:paraId="47E5EDD6" w14:textId="0DBD54FE" w:rsidR="005574CA" w:rsidRPr="003E17CE" w:rsidRDefault="005574CA" w:rsidP="003E17CE">
      <w:pPr>
        <w:spacing w:after="0" w:line="480" w:lineRule="auto"/>
        <w:ind w:left="720" w:hanging="720"/>
        <w:rPr>
          <w:highlight w:val="white"/>
        </w:rPr>
      </w:pPr>
      <w:r w:rsidRPr="005574CA">
        <w:t>Crowley, Sharon. </w:t>
      </w:r>
      <w:r w:rsidRPr="005574CA">
        <w:rPr>
          <w:i/>
          <w:iCs/>
        </w:rPr>
        <w:t>Toward a Civil Discourse: Rhetoric and Fundamentalism. </w:t>
      </w:r>
      <w:r w:rsidRPr="005574CA">
        <w:t>Pittsburgh: U of Pittsburgh P, 2006. Print.</w:t>
      </w:r>
    </w:p>
    <w:p w14:paraId="427FBAB7" w14:textId="77777777" w:rsidR="00650DB7" w:rsidRPr="00650DB7" w:rsidRDefault="00650DB7" w:rsidP="00650DB7">
      <w:pPr>
        <w:spacing w:after="0" w:line="480" w:lineRule="auto"/>
        <w:ind w:left="720" w:hanging="720"/>
      </w:pPr>
      <w:r w:rsidRPr="00650DB7">
        <w:rPr>
          <w:rFonts w:hint="eastAsia"/>
        </w:rPr>
        <w:t>Cronin, Vincent. </w:t>
      </w:r>
      <w:r w:rsidRPr="00650DB7">
        <w:rPr>
          <w:rFonts w:hint="eastAsia"/>
          <w:i/>
          <w:iCs/>
        </w:rPr>
        <w:t>A Pearl to India: The Life of Roberto De Nobili</w:t>
      </w:r>
      <w:r w:rsidRPr="00650DB7">
        <w:rPr>
          <w:rFonts w:hint="eastAsia"/>
        </w:rPr>
        <w:t>. London: Libra, 1966. Print.</w:t>
      </w:r>
    </w:p>
    <w:p w14:paraId="3191AF80" w14:textId="3D068709" w:rsidR="00B72520" w:rsidRDefault="00B72520" w:rsidP="00083F86">
      <w:pPr>
        <w:spacing w:after="0" w:line="480" w:lineRule="auto"/>
        <w:ind w:left="720" w:hanging="720"/>
      </w:pPr>
      <w:r>
        <w:t xml:space="preserve">De Nobili, Roberto de. “The Dialogue on Eternal Life” in </w:t>
      </w:r>
      <w:r>
        <w:rPr>
          <w:i/>
        </w:rPr>
        <w:t>Preaching Wisdom to the Wise: Three Treatises</w:t>
      </w:r>
      <w:r>
        <w:t xml:space="preserve"> trans. by </w:t>
      </w:r>
      <w:proofErr w:type="spellStart"/>
      <w:r>
        <w:t>Anand</w:t>
      </w:r>
      <w:proofErr w:type="spellEnd"/>
      <w:r>
        <w:t xml:space="preserve"> </w:t>
      </w:r>
      <w:proofErr w:type="spellStart"/>
      <w:r>
        <w:t>Amaladass</w:t>
      </w:r>
      <w:proofErr w:type="spellEnd"/>
      <w:r>
        <w:t>, SJ and Francis X. Clooney, SJ (Saint Louis: Institute of Jesuit Sources, 2000), 233-303.</w:t>
      </w:r>
    </w:p>
    <w:p w14:paraId="739D0CFC" w14:textId="02EEEC86" w:rsidR="00A62531" w:rsidRDefault="00A62531" w:rsidP="00083F86">
      <w:pPr>
        <w:spacing w:after="0" w:line="480" w:lineRule="auto"/>
        <w:ind w:left="720" w:hanging="720"/>
      </w:pPr>
      <w:r>
        <w:t xml:space="preserve">--. </w:t>
      </w:r>
      <w:r w:rsidRPr="00A62531">
        <w:t>The Report on Certain Customs of the Indian Nation</w:t>
      </w:r>
      <w:r>
        <w:t xml:space="preserve">” in </w:t>
      </w:r>
      <w:r>
        <w:rPr>
          <w:i/>
        </w:rPr>
        <w:t>Preaching Wisdom to the Wise: Three Treatises</w:t>
      </w:r>
      <w:r>
        <w:t xml:space="preserve"> trans. by </w:t>
      </w:r>
      <w:proofErr w:type="spellStart"/>
      <w:r>
        <w:t>Anand</w:t>
      </w:r>
      <w:proofErr w:type="spellEnd"/>
      <w:r>
        <w:t xml:space="preserve"> </w:t>
      </w:r>
      <w:proofErr w:type="spellStart"/>
      <w:r>
        <w:t>Amaladass</w:t>
      </w:r>
      <w:proofErr w:type="spellEnd"/>
      <w:r>
        <w:t>, SJ and Francis X. Clooney, SJ (Saint Louis: Institute of Jesuit Sources, 2000), 233-303.</w:t>
      </w:r>
    </w:p>
    <w:p w14:paraId="3F3FAEAB" w14:textId="1D7E301A" w:rsidR="008B5B26" w:rsidRPr="008B5B26" w:rsidRDefault="008B5B26" w:rsidP="008B5B26">
      <w:pPr>
        <w:spacing w:after="0" w:line="480" w:lineRule="auto"/>
        <w:ind w:left="720" w:hanging="720"/>
      </w:pPr>
      <w:proofErr w:type="spellStart"/>
      <w:r w:rsidRPr="008B5B26">
        <w:rPr>
          <w:bCs/>
        </w:rPr>
        <w:t>DePalma</w:t>
      </w:r>
      <w:proofErr w:type="spellEnd"/>
      <w:r w:rsidRPr="008B5B26">
        <w:rPr>
          <w:bCs/>
        </w:rPr>
        <w:t>, Michael-John. “Reimagining Rhetorical Educ</w:t>
      </w:r>
      <w:r>
        <w:rPr>
          <w:bCs/>
        </w:rPr>
        <w:t xml:space="preserve">ation: Fostering Writers’ Civic </w:t>
      </w:r>
      <w:r w:rsidRPr="008B5B26">
        <w:rPr>
          <w:bCs/>
        </w:rPr>
        <w:t xml:space="preserve">Capacities through Engagements with Religious </w:t>
      </w:r>
      <w:proofErr w:type="spellStart"/>
      <w:r w:rsidRPr="008B5B26">
        <w:rPr>
          <w:bCs/>
        </w:rPr>
        <w:t>Rhetorics</w:t>
      </w:r>
      <w:proofErr w:type="spellEnd"/>
      <w:r w:rsidRPr="008B5B26">
        <w:rPr>
          <w:bCs/>
        </w:rPr>
        <w:t>.” </w:t>
      </w:r>
      <w:r w:rsidRPr="008B5B26">
        <w:rPr>
          <w:bCs/>
          <w:i/>
          <w:iCs/>
        </w:rPr>
        <w:t>College English </w:t>
      </w:r>
      <w:r w:rsidRPr="008B5B26">
        <w:rPr>
          <w:bCs/>
        </w:rPr>
        <w:t>79.3 (2017): 251-275. Print.</w:t>
      </w:r>
    </w:p>
    <w:p w14:paraId="5BD5F9D3" w14:textId="77777777" w:rsidR="002E05EE" w:rsidRDefault="0023408D" w:rsidP="002E05EE">
      <w:pPr>
        <w:spacing w:after="0" w:line="480" w:lineRule="auto"/>
        <w:ind w:left="720" w:hanging="720"/>
      </w:pPr>
      <w:proofErr w:type="spellStart"/>
      <w:r w:rsidRPr="0023408D">
        <w:t>DePalma</w:t>
      </w:r>
      <w:proofErr w:type="spellEnd"/>
      <w:r>
        <w:t xml:space="preserve">, </w:t>
      </w:r>
      <w:r w:rsidRPr="0023408D">
        <w:t>Michael-John and Jeffrey M. Ringer</w:t>
      </w:r>
      <w:r>
        <w:t>, eds</w:t>
      </w:r>
      <w:r w:rsidRPr="0023408D">
        <w:t xml:space="preserve">. </w:t>
      </w:r>
      <w:r w:rsidRPr="0023408D">
        <w:rPr>
          <w:i/>
        </w:rPr>
        <w:t xml:space="preserve">Mapping Christian </w:t>
      </w:r>
      <w:proofErr w:type="spellStart"/>
      <w:r w:rsidRPr="0023408D">
        <w:rPr>
          <w:i/>
        </w:rPr>
        <w:t>Rhetorics</w:t>
      </w:r>
      <w:proofErr w:type="spellEnd"/>
      <w:r w:rsidRPr="0023408D">
        <w:rPr>
          <w:i/>
        </w:rPr>
        <w:t>: Connecting Conversations, Charting New Territories</w:t>
      </w:r>
      <w:r w:rsidRPr="0023408D">
        <w:t>. New York: Routledge, 2015. 125-140. Print.</w:t>
      </w:r>
    </w:p>
    <w:p w14:paraId="37D7BB81" w14:textId="3ADDFB21" w:rsidR="002E05EE" w:rsidRPr="002E05EE" w:rsidRDefault="002E05EE" w:rsidP="002E05EE">
      <w:pPr>
        <w:spacing w:after="0" w:line="480" w:lineRule="auto"/>
        <w:ind w:left="720" w:hanging="720"/>
        <w:rPr>
          <w:highlight w:val="white"/>
        </w:rPr>
      </w:pPr>
      <w:proofErr w:type="spellStart"/>
      <w:r>
        <w:lastRenderedPageBreak/>
        <w:t>Doniger</w:t>
      </w:r>
      <w:proofErr w:type="spellEnd"/>
      <w:r>
        <w:t xml:space="preserve">, Wendy. “Echoes of the </w:t>
      </w:r>
      <w:proofErr w:type="spellStart"/>
      <w:r>
        <w:rPr>
          <w:i/>
        </w:rPr>
        <w:t>Mahābhārata</w:t>
      </w:r>
      <w:proofErr w:type="spellEnd"/>
      <w:r>
        <w:t xml:space="preserve">: Why is a Parrot the Narrator of the </w:t>
      </w:r>
      <w:proofErr w:type="spellStart"/>
      <w:r>
        <w:t>Bhāgavata</w:t>
      </w:r>
      <w:proofErr w:type="spellEnd"/>
      <w:r>
        <w:t xml:space="preserve"> </w:t>
      </w:r>
      <w:proofErr w:type="spellStart"/>
      <w:r>
        <w:t>Purāna</w:t>
      </w:r>
      <w:proofErr w:type="spellEnd"/>
      <w:r>
        <w:t xml:space="preserve"> </w:t>
      </w:r>
      <w:proofErr w:type="spellStart"/>
      <w:r>
        <w:t>Devibhagavata</w:t>
      </w:r>
      <w:proofErr w:type="spellEnd"/>
      <w:r>
        <w:t xml:space="preserve"> </w:t>
      </w:r>
      <w:proofErr w:type="spellStart"/>
      <w:r>
        <w:t>Purana</w:t>
      </w:r>
      <w:proofErr w:type="spellEnd"/>
      <w:r>
        <w:t xml:space="preserve">?” in Wendy </w:t>
      </w:r>
      <w:proofErr w:type="spellStart"/>
      <w:r>
        <w:t>Doniger</w:t>
      </w:r>
      <w:proofErr w:type="spellEnd"/>
      <w:r>
        <w:t xml:space="preserve"> (ed.) </w:t>
      </w:r>
      <w:proofErr w:type="spellStart"/>
      <w:r>
        <w:rPr>
          <w:i/>
        </w:rPr>
        <w:t>Purāna</w:t>
      </w:r>
      <w:proofErr w:type="spellEnd"/>
      <w:r>
        <w:rPr>
          <w:i/>
        </w:rPr>
        <w:t xml:space="preserve"> </w:t>
      </w:r>
      <w:proofErr w:type="spellStart"/>
      <w:r>
        <w:rPr>
          <w:i/>
        </w:rPr>
        <w:t>Perennis</w:t>
      </w:r>
      <w:proofErr w:type="spellEnd"/>
      <w:r>
        <w:rPr>
          <w:i/>
        </w:rPr>
        <w:t xml:space="preserve">: Reciprocity and Transformation in Hindu and </w:t>
      </w:r>
      <w:proofErr w:type="spellStart"/>
      <w:r>
        <w:rPr>
          <w:i/>
        </w:rPr>
        <w:t>Jaina</w:t>
      </w:r>
      <w:proofErr w:type="spellEnd"/>
      <w:r>
        <w:rPr>
          <w:i/>
        </w:rPr>
        <w:t xml:space="preserve"> Texts</w:t>
      </w:r>
      <w:r>
        <w:t>.</w:t>
      </w:r>
      <w:r>
        <w:rPr>
          <w:i/>
        </w:rPr>
        <w:t xml:space="preserve"> </w:t>
      </w:r>
      <w:r w:rsidRPr="00C40107">
        <w:t>Albany: State University of New York Press, 1993.</w:t>
      </w:r>
    </w:p>
    <w:p w14:paraId="51CD6A37" w14:textId="77777777" w:rsidR="007D3A81" w:rsidRDefault="00251C26" w:rsidP="00083F86">
      <w:pPr>
        <w:spacing w:after="0" w:line="480" w:lineRule="auto"/>
        <w:ind w:left="720" w:hanging="720"/>
        <w:rPr>
          <w:highlight w:val="white"/>
        </w:rPr>
      </w:pPr>
      <w:r>
        <w:rPr>
          <w:highlight w:val="white"/>
        </w:rPr>
        <w:t xml:space="preserve">Dingo, Rebecca. </w:t>
      </w:r>
      <w:r>
        <w:rPr>
          <w:i/>
          <w:highlight w:val="white"/>
        </w:rPr>
        <w:t>Networking arguments: Rhetoric, transnational feminism, and public policy writing</w:t>
      </w:r>
      <w:r>
        <w:rPr>
          <w:highlight w:val="white"/>
        </w:rPr>
        <w:t xml:space="preserve">. University of Pittsburgh </w:t>
      </w:r>
      <w:proofErr w:type="spellStart"/>
      <w:r>
        <w:rPr>
          <w:highlight w:val="white"/>
        </w:rPr>
        <w:t>Preaa</w:t>
      </w:r>
      <w:proofErr w:type="spellEnd"/>
      <w:r>
        <w:rPr>
          <w:highlight w:val="white"/>
        </w:rPr>
        <w:t>, 2012.</w:t>
      </w:r>
    </w:p>
    <w:p w14:paraId="0FB46C87" w14:textId="48A9A0F1" w:rsidR="00ED7CA3" w:rsidRDefault="00ED7CA3" w:rsidP="00083F86">
      <w:pPr>
        <w:spacing w:after="0" w:line="480" w:lineRule="auto"/>
        <w:ind w:left="720" w:hanging="720"/>
        <w:rPr>
          <w:highlight w:val="white"/>
        </w:rPr>
      </w:pPr>
      <w:r w:rsidRPr="00ED7CA3">
        <w:t>Fish, Stanley. “One Nation Under God?”</w:t>
      </w:r>
      <w:r>
        <w:t xml:space="preserve"> </w:t>
      </w:r>
      <w:r>
        <w:rPr>
          <w:i/>
        </w:rPr>
        <w:t>Chronicle of Higher Education</w:t>
      </w:r>
      <w:r>
        <w:t>.</w:t>
      </w:r>
      <w:r w:rsidRPr="00ED7CA3">
        <w:t xml:space="preserve"> 7 Jan 2005. Web. 11 Feb. 2017. </w:t>
      </w:r>
    </w:p>
    <w:p w14:paraId="50709878" w14:textId="77777777" w:rsidR="007D3A81" w:rsidRDefault="00251C26" w:rsidP="00083F86">
      <w:pPr>
        <w:spacing w:after="0" w:line="480" w:lineRule="auto"/>
        <w:ind w:left="720" w:hanging="720"/>
      </w:pPr>
      <w:r>
        <w:rPr>
          <w:highlight w:val="white"/>
        </w:rPr>
        <w:t xml:space="preserve">Garrett, Mary. "Tied to a tree: Culture and self-reflexivity." </w:t>
      </w:r>
      <w:r>
        <w:rPr>
          <w:i/>
        </w:rPr>
        <w:t>Rhetoric Society Quarterly</w:t>
      </w:r>
      <w:r>
        <w:rPr>
          <w:highlight w:val="white"/>
        </w:rPr>
        <w:t xml:space="preserve"> 43.3 (2013): 243-255.</w:t>
      </w:r>
    </w:p>
    <w:p w14:paraId="59E407D0" w14:textId="77777777" w:rsidR="00EF142C" w:rsidRDefault="00EF142C" w:rsidP="00CE1C0A">
      <w:pPr>
        <w:spacing w:after="0" w:line="480" w:lineRule="auto"/>
        <w:ind w:left="720" w:hanging="720"/>
        <w:rPr>
          <w:bCs/>
        </w:rPr>
      </w:pPr>
      <w:r w:rsidRPr="00EF142C">
        <w:rPr>
          <w:bCs/>
        </w:rPr>
        <w:t xml:space="preserve">Geiger, T.J. “Our Work is Our Prayer: Scholarship, Invention, and Spiritual Activism.” </w:t>
      </w:r>
      <w:proofErr w:type="spellStart"/>
      <w:r w:rsidRPr="00EF142C">
        <w:rPr>
          <w:bCs/>
          <w:i/>
        </w:rPr>
        <w:t>Peitho</w:t>
      </w:r>
      <w:proofErr w:type="spellEnd"/>
      <w:r w:rsidRPr="00EF142C">
        <w:rPr>
          <w:bCs/>
        </w:rPr>
        <w:t xml:space="preserve"> 11.1 (2009): 1-7. Print. </w:t>
      </w:r>
    </w:p>
    <w:p w14:paraId="732EB560" w14:textId="1C0CAD40" w:rsidR="00D96F4F" w:rsidRDefault="00EF142C" w:rsidP="00CE1C0A">
      <w:pPr>
        <w:spacing w:after="0" w:line="480" w:lineRule="auto"/>
        <w:ind w:left="720" w:hanging="720"/>
        <w:rPr>
          <w:bCs/>
        </w:rPr>
      </w:pPr>
      <w:r>
        <w:rPr>
          <w:bCs/>
        </w:rPr>
        <w:t>---.</w:t>
      </w:r>
      <w:r w:rsidRPr="00EF142C">
        <w:rPr>
          <w:bCs/>
        </w:rPr>
        <w:t xml:space="preserve"> “Unpredictable Encounters: Religious Discourse, Sexuality, and the Free Exercise of Rhetoric.” </w:t>
      </w:r>
      <w:r w:rsidRPr="00EF142C">
        <w:rPr>
          <w:bCs/>
          <w:i/>
        </w:rPr>
        <w:t>College English 75</w:t>
      </w:r>
      <w:r w:rsidRPr="00EF142C">
        <w:rPr>
          <w:bCs/>
        </w:rPr>
        <w:t>.3 (2013): 248-296. Print.</w:t>
      </w:r>
    </w:p>
    <w:p w14:paraId="6C94C3D4" w14:textId="77777777" w:rsidR="00CE1C0A" w:rsidRPr="00CE1C0A" w:rsidRDefault="00CE1C0A" w:rsidP="00CE1C0A">
      <w:pPr>
        <w:spacing w:after="0" w:line="480" w:lineRule="auto"/>
        <w:ind w:left="720" w:hanging="720"/>
      </w:pPr>
      <w:proofErr w:type="spellStart"/>
      <w:r w:rsidRPr="00CE1C0A">
        <w:rPr>
          <w:bCs/>
        </w:rPr>
        <w:t>Gilyard</w:t>
      </w:r>
      <w:proofErr w:type="spellEnd"/>
      <w:r w:rsidRPr="00CE1C0A">
        <w:rPr>
          <w:bCs/>
        </w:rPr>
        <w:t>, Keith. “Tracking Prophetic Witness.” </w:t>
      </w:r>
      <w:r w:rsidRPr="00CE1C0A">
        <w:rPr>
          <w:bCs/>
          <w:i/>
          <w:iCs/>
        </w:rPr>
        <w:t>Composition and Cornel West: Notes toward a Deep Democracy. </w:t>
      </w:r>
      <w:r w:rsidRPr="00CE1C0A">
        <w:rPr>
          <w:bCs/>
        </w:rPr>
        <w:t>Carbondale: Southern Illinois UP: 2008. Print. </w:t>
      </w:r>
    </w:p>
    <w:p w14:paraId="588B68E3" w14:textId="77777777" w:rsidR="00CC5E75" w:rsidRDefault="00CC5E75" w:rsidP="00083F86">
      <w:pPr>
        <w:spacing w:after="0" w:line="480" w:lineRule="auto"/>
        <w:ind w:left="720" w:hanging="720"/>
      </w:pPr>
      <w:r w:rsidRPr="00CC5E75">
        <w:t>Hairston, Maxine. “Diversity, Ideology, and Teaching Writing.” College Composition and Communication 43.2 (1992): 179-193. Print.</w:t>
      </w:r>
    </w:p>
    <w:p w14:paraId="512DBFB5" w14:textId="77777777" w:rsidR="00316506" w:rsidRDefault="00316506" w:rsidP="00083F86">
      <w:pPr>
        <w:spacing w:after="0" w:line="480" w:lineRule="auto"/>
        <w:ind w:left="720" w:hanging="720"/>
      </w:pPr>
      <w:proofErr w:type="spellStart"/>
      <w:r w:rsidRPr="00316506">
        <w:t>Holdstein</w:t>
      </w:r>
      <w:proofErr w:type="spellEnd"/>
      <w:r w:rsidRPr="00316506">
        <w:t xml:space="preserve">, Deborah. “The Rhetorical Ideology of Composition Studies.” Judaic Perspectives in Rhetoric and Composition. Ed. Andrea </w:t>
      </w:r>
      <w:proofErr w:type="spellStart"/>
      <w:r w:rsidRPr="00316506">
        <w:t>Greenbaum</w:t>
      </w:r>
      <w:proofErr w:type="spellEnd"/>
      <w:r w:rsidRPr="00316506">
        <w:t xml:space="preserve"> and Deborah </w:t>
      </w:r>
      <w:proofErr w:type="spellStart"/>
      <w:r w:rsidRPr="00316506">
        <w:t>Holdstein</w:t>
      </w:r>
      <w:proofErr w:type="spellEnd"/>
      <w:r w:rsidRPr="00316506">
        <w:t>. Cresskill, NJ: Hampton Press, 2008. 13-21. Print.</w:t>
      </w:r>
    </w:p>
    <w:p w14:paraId="0A96214B" w14:textId="63207458" w:rsidR="007D3A81" w:rsidRDefault="00251C26" w:rsidP="00083F86">
      <w:pPr>
        <w:spacing w:after="0" w:line="480" w:lineRule="auto"/>
        <w:ind w:left="720" w:hanging="720"/>
      </w:pPr>
      <w:r>
        <w:rPr>
          <w:highlight w:val="white"/>
        </w:rPr>
        <w:lastRenderedPageBreak/>
        <w:t xml:space="preserve">Horner, Bruce, Min-Zhan Lu, Jacqueline Jones Royster, and John </w:t>
      </w:r>
      <w:proofErr w:type="spellStart"/>
      <w:r>
        <w:rPr>
          <w:highlight w:val="white"/>
        </w:rPr>
        <w:t>Trimbur</w:t>
      </w:r>
      <w:proofErr w:type="spellEnd"/>
      <w:r>
        <w:rPr>
          <w:highlight w:val="white"/>
        </w:rPr>
        <w:t xml:space="preserve">. "Language Difference in Writing: Toward a Translingual Approach.” </w:t>
      </w:r>
      <w:r>
        <w:rPr>
          <w:i/>
        </w:rPr>
        <w:t xml:space="preserve">College English </w:t>
      </w:r>
      <w:r>
        <w:rPr>
          <w:highlight w:val="white"/>
        </w:rPr>
        <w:t>73.3 (2011): 299-317.</w:t>
      </w:r>
    </w:p>
    <w:p w14:paraId="3C87EABA" w14:textId="77777777" w:rsidR="007D3A81" w:rsidRDefault="00251C26" w:rsidP="00083F86">
      <w:pPr>
        <w:spacing w:after="0" w:line="480" w:lineRule="auto"/>
        <w:ind w:left="720" w:hanging="720"/>
        <w:rPr>
          <w:highlight w:val="white"/>
        </w:rPr>
      </w:pPr>
      <w:r>
        <w:rPr>
          <w:highlight w:val="white"/>
        </w:rPr>
        <w:t xml:space="preserve">Jordan, Jay. "Material translingual ecologies." </w:t>
      </w:r>
      <w:r>
        <w:rPr>
          <w:i/>
          <w:highlight w:val="white"/>
        </w:rPr>
        <w:t xml:space="preserve">College English </w:t>
      </w:r>
      <w:r>
        <w:rPr>
          <w:highlight w:val="white"/>
        </w:rPr>
        <w:t>77.4 (2015): 364.</w:t>
      </w:r>
    </w:p>
    <w:p w14:paraId="2F62844E" w14:textId="77777777" w:rsidR="0023408D" w:rsidRPr="0023408D" w:rsidRDefault="0023408D" w:rsidP="0023408D">
      <w:pPr>
        <w:spacing w:after="0" w:line="480" w:lineRule="auto"/>
        <w:ind w:left="720" w:hanging="720"/>
      </w:pPr>
      <w:proofErr w:type="spellStart"/>
      <w:r w:rsidRPr="0023408D">
        <w:rPr>
          <w:bCs/>
        </w:rPr>
        <w:t>Jost</w:t>
      </w:r>
      <w:proofErr w:type="spellEnd"/>
      <w:r w:rsidRPr="0023408D">
        <w:rPr>
          <w:bCs/>
        </w:rPr>
        <w:t xml:space="preserve">, Walter and Wendy Olmsted, eds. </w:t>
      </w:r>
      <w:r w:rsidRPr="0023408D">
        <w:rPr>
          <w:bCs/>
          <w:i/>
        </w:rPr>
        <w:t>Rhetorical Invention and Religious Inquiry: New Perspectives.</w:t>
      </w:r>
      <w:r w:rsidRPr="0023408D">
        <w:rPr>
          <w:bCs/>
        </w:rPr>
        <w:t xml:space="preserve"> New Haven and London: Yale UP, 2000. 25–46. Print.</w:t>
      </w:r>
    </w:p>
    <w:p w14:paraId="30B26503" w14:textId="3679F9A4" w:rsidR="00FC6FC8" w:rsidRPr="00FC6FC8" w:rsidRDefault="00FC6FC8" w:rsidP="00083F86">
      <w:pPr>
        <w:spacing w:after="0" w:line="480" w:lineRule="auto"/>
        <w:ind w:left="720" w:hanging="720"/>
        <w:rPr>
          <w:b/>
        </w:rPr>
      </w:pPr>
      <w:r>
        <w:t xml:space="preserve">Kahn, Charles H. </w:t>
      </w:r>
      <w:r>
        <w:rPr>
          <w:i/>
        </w:rPr>
        <w:t xml:space="preserve">Plato and the Socratic Dialogue. </w:t>
      </w:r>
      <w:r>
        <w:t xml:space="preserve">New York: Cambridge UP, 1996. Print. </w:t>
      </w:r>
    </w:p>
    <w:p w14:paraId="484E49F9" w14:textId="6A778255" w:rsidR="003E17CE" w:rsidRPr="00E7065A" w:rsidRDefault="003E17CE" w:rsidP="00083F86">
      <w:pPr>
        <w:spacing w:after="0" w:line="480" w:lineRule="auto"/>
        <w:ind w:left="720" w:hanging="720"/>
      </w:pPr>
      <w:r>
        <w:t>Katz, Steven B. “</w:t>
      </w:r>
      <w:r w:rsidRPr="00A23DC3">
        <w:t>The Hebrew Bible as Another, Jewish Sophistic: A Genesis of Absence</w:t>
      </w:r>
      <w:r>
        <w:t xml:space="preserve"> and Desire in Ancient Rhetoric.” </w:t>
      </w:r>
      <w:r>
        <w:rPr>
          <w:i/>
        </w:rPr>
        <w:t xml:space="preserve">Ancient Non-Greek </w:t>
      </w:r>
      <w:proofErr w:type="spellStart"/>
      <w:r>
        <w:rPr>
          <w:i/>
        </w:rPr>
        <w:t>Rhetorics</w:t>
      </w:r>
      <w:proofErr w:type="spellEnd"/>
      <w:r>
        <w:rPr>
          <w:i/>
        </w:rPr>
        <w:t xml:space="preserve">. </w:t>
      </w:r>
      <w:r w:rsidR="00E7065A">
        <w:t xml:space="preserve">Roberta Binkley and Carol </w:t>
      </w:r>
      <w:proofErr w:type="spellStart"/>
      <w:r w:rsidR="00E7065A">
        <w:t>Lispon</w:t>
      </w:r>
      <w:proofErr w:type="spellEnd"/>
      <w:r w:rsidR="00E7065A">
        <w:t xml:space="preserve">, eds. </w:t>
      </w:r>
    </w:p>
    <w:p w14:paraId="4BF8BA7C" w14:textId="5891C991" w:rsidR="006E450A" w:rsidRDefault="006E450A" w:rsidP="00083F86">
      <w:pPr>
        <w:spacing w:after="0" w:line="480" w:lineRule="auto"/>
        <w:ind w:left="720" w:hanging="720"/>
        <w:rPr>
          <w:highlight w:val="white"/>
        </w:rPr>
      </w:pPr>
      <w:r w:rsidRPr="006E450A">
        <w:t xml:space="preserve">Kirsch, </w:t>
      </w:r>
      <w:proofErr w:type="spellStart"/>
      <w:r w:rsidRPr="006E450A">
        <w:t>Gesa</w:t>
      </w:r>
      <w:proofErr w:type="spellEnd"/>
      <w:r w:rsidRPr="006E450A">
        <w:t xml:space="preserve"> E. “From Introspection to Action: Connecting Spirituality and Civic Engagement.” </w:t>
      </w:r>
      <w:r w:rsidRPr="006E450A">
        <w:rPr>
          <w:i/>
        </w:rPr>
        <w:t>College Composition and Communication</w:t>
      </w:r>
      <w:r w:rsidRPr="006E450A">
        <w:t xml:space="preserve"> 60.4 (2009): W1-W15. Print.</w:t>
      </w:r>
    </w:p>
    <w:p w14:paraId="4544A90D" w14:textId="77777777" w:rsidR="007D3A81" w:rsidRDefault="00251C26" w:rsidP="00083F86">
      <w:pPr>
        <w:spacing w:after="0" w:line="480" w:lineRule="auto"/>
        <w:ind w:left="720" w:hanging="720"/>
      </w:pPr>
      <w:r>
        <w:rPr>
          <w:highlight w:val="white"/>
        </w:rPr>
        <w:t xml:space="preserve">Lu, Min-Zhan, and Bruce Horner. "Translingual literacy, language difference, and matters of agency." </w:t>
      </w:r>
      <w:r>
        <w:rPr>
          <w:i/>
        </w:rPr>
        <w:t>College English</w:t>
      </w:r>
      <w:r>
        <w:rPr>
          <w:highlight w:val="white"/>
        </w:rPr>
        <w:t xml:space="preserve"> 75.6 (2013): 582-607.</w:t>
      </w:r>
    </w:p>
    <w:p w14:paraId="6AEA9A01" w14:textId="23BF82C2" w:rsidR="00EB77E1" w:rsidRDefault="00EB77E1" w:rsidP="00083F86">
      <w:pPr>
        <w:spacing w:after="0" w:line="480" w:lineRule="auto"/>
        <w:ind w:left="720" w:hanging="720"/>
      </w:pPr>
      <w:r>
        <w:t>Lynch, Paul and Matthew Miller. “</w:t>
      </w:r>
      <w:r w:rsidRPr="00EB77E1">
        <w:rPr>
          <w:bCs/>
        </w:rPr>
        <w:t>Twenty-Five Years of Faith in Writing: Religion and Composition, 1992-2017</w:t>
      </w:r>
      <w:r>
        <w:rPr>
          <w:bCs/>
        </w:rPr>
        <w:t xml:space="preserve">.” </w:t>
      </w:r>
      <w:r>
        <w:rPr>
          <w:bCs/>
          <w:i/>
        </w:rPr>
        <w:t>Present Tense</w:t>
      </w:r>
      <w:r>
        <w:rPr>
          <w:bCs/>
        </w:rPr>
        <w:t>. 2.6 (2017)</w:t>
      </w:r>
      <w:r w:rsidR="0071403C">
        <w:rPr>
          <w:bCs/>
        </w:rPr>
        <w:t>: 1-195.</w:t>
      </w:r>
    </w:p>
    <w:p w14:paraId="76163C80" w14:textId="77777777" w:rsidR="007D3A81" w:rsidRDefault="00251C26" w:rsidP="00083F86">
      <w:pPr>
        <w:spacing w:after="0" w:line="480" w:lineRule="auto"/>
        <w:ind w:left="720" w:hanging="720"/>
      </w:pPr>
      <w:proofErr w:type="spellStart"/>
      <w:r>
        <w:t>Mailloux</w:t>
      </w:r>
      <w:proofErr w:type="spellEnd"/>
      <w:r>
        <w:t xml:space="preserve">, Steven. “Jesuit Comparative </w:t>
      </w:r>
      <w:proofErr w:type="spellStart"/>
      <w:r>
        <w:t>Theorhetoric</w:t>
      </w:r>
      <w:proofErr w:type="spellEnd"/>
      <w:r>
        <w:t xml:space="preserve">.” </w:t>
      </w:r>
      <w:r>
        <w:rPr>
          <w:i/>
        </w:rPr>
        <w:t xml:space="preserve">Rhetoric Review </w:t>
      </w:r>
      <w:r>
        <w:t xml:space="preserve">34 (2015): 363-66. </w:t>
      </w:r>
    </w:p>
    <w:p w14:paraId="2197CF60" w14:textId="77777777" w:rsidR="004E236A" w:rsidRDefault="00251C26" w:rsidP="004E236A">
      <w:pPr>
        <w:spacing w:after="0" w:line="480" w:lineRule="auto"/>
        <w:ind w:left="720" w:hanging="720"/>
      </w:pPr>
      <w:r>
        <w:t xml:space="preserve">Mao, Lu-Ming. “Beyond Bias, Binary, and Border: Mapping out the Future of Comparative Rhetoric.” </w:t>
      </w:r>
      <w:r>
        <w:rPr>
          <w:i/>
        </w:rPr>
        <w:t xml:space="preserve">Rhetoric Society Quarterly </w:t>
      </w:r>
      <w:r>
        <w:t>43.3 (2013): 209-225.</w:t>
      </w:r>
    </w:p>
    <w:p w14:paraId="66C786C8" w14:textId="77777777" w:rsidR="00157292" w:rsidRPr="00157292" w:rsidRDefault="00157292" w:rsidP="00157292">
      <w:pPr>
        <w:spacing w:after="0" w:line="480" w:lineRule="auto"/>
        <w:ind w:left="720" w:hanging="720"/>
      </w:pPr>
      <w:r w:rsidRPr="00157292">
        <w:t xml:space="preserve">Narayana Rao, </w:t>
      </w:r>
      <w:proofErr w:type="spellStart"/>
      <w:r w:rsidRPr="00157292">
        <w:t>Velcheru</w:t>
      </w:r>
      <w:proofErr w:type="spellEnd"/>
      <w:r w:rsidRPr="00157292">
        <w:t xml:space="preserve">, and David Shulman, and Sanjay </w:t>
      </w:r>
      <w:proofErr w:type="spellStart"/>
      <w:r w:rsidRPr="00157292">
        <w:t>Subrahmanyam</w:t>
      </w:r>
      <w:proofErr w:type="spellEnd"/>
      <w:r w:rsidRPr="00157292">
        <w:t>.</w:t>
      </w:r>
      <w:r w:rsidRPr="00157292">
        <w:rPr>
          <w:i/>
        </w:rPr>
        <w:t xml:space="preserve"> </w:t>
      </w:r>
      <w:r w:rsidRPr="00157292">
        <w:t xml:space="preserve">“New Imperial Idiom in the Sixteenth Century: </w:t>
      </w:r>
      <w:proofErr w:type="spellStart"/>
      <w:r w:rsidRPr="00157292">
        <w:t>Krishnadevaraya</w:t>
      </w:r>
      <w:proofErr w:type="spellEnd"/>
      <w:r w:rsidRPr="00157292">
        <w:t xml:space="preserve"> and His Political Theory of </w:t>
      </w:r>
      <w:proofErr w:type="spellStart"/>
      <w:r w:rsidRPr="00157292">
        <w:t>Vijayanagara</w:t>
      </w:r>
      <w:proofErr w:type="spellEnd"/>
      <w:r w:rsidRPr="00157292">
        <w:t xml:space="preserve">.” </w:t>
      </w:r>
      <w:r w:rsidRPr="00157292">
        <w:rPr>
          <w:rFonts w:hint="eastAsia"/>
        </w:rPr>
        <w:t>Sheldon Pollock, ed. </w:t>
      </w:r>
      <w:r w:rsidRPr="00157292">
        <w:rPr>
          <w:rFonts w:hint="eastAsia"/>
          <w:i/>
          <w:iCs/>
        </w:rPr>
        <w:t xml:space="preserve">Forms of Knowledge in Early Modern Asia: Explorations in the </w:t>
      </w:r>
      <w:r w:rsidRPr="00157292">
        <w:rPr>
          <w:rFonts w:hint="eastAsia"/>
          <w:i/>
          <w:iCs/>
        </w:rPr>
        <w:lastRenderedPageBreak/>
        <w:t>Intellectual History of India and Tibet, 1500-1800</w:t>
      </w:r>
      <w:r w:rsidRPr="00157292">
        <w:rPr>
          <w:rFonts w:hint="eastAsia"/>
        </w:rPr>
        <w:t>. Durham, N.C: Duke University Press, 2011. Print.</w:t>
      </w:r>
    </w:p>
    <w:p w14:paraId="22670543" w14:textId="57FB66B9" w:rsidR="004E236A" w:rsidRPr="004E236A" w:rsidRDefault="004E236A" w:rsidP="004E236A">
      <w:pPr>
        <w:spacing w:after="0" w:line="480" w:lineRule="auto"/>
        <w:ind w:left="720" w:hanging="720"/>
      </w:pPr>
      <w:r w:rsidRPr="004E236A">
        <w:t>Pavia, Catherine Matthews. “Taking Up Faith: Ethical Methods for Studying Writing in Religious Contexts.” </w:t>
      </w:r>
      <w:r w:rsidRPr="004E236A">
        <w:rPr>
          <w:i/>
          <w:iCs/>
        </w:rPr>
        <w:t>Written Communication </w:t>
      </w:r>
      <w:r w:rsidRPr="004E236A">
        <w:t>32.4 (2015): 336-67.</w:t>
      </w:r>
    </w:p>
    <w:p w14:paraId="4F6575A3" w14:textId="2FB5F79D" w:rsidR="00157292" w:rsidRDefault="00157292" w:rsidP="00157292">
      <w:pPr>
        <w:spacing w:after="0" w:line="480" w:lineRule="auto"/>
        <w:ind w:left="720" w:hanging="720"/>
      </w:pPr>
      <w:proofErr w:type="spellStart"/>
      <w:r>
        <w:t>Patil</w:t>
      </w:r>
      <w:proofErr w:type="spellEnd"/>
      <w:r>
        <w:t xml:space="preserve">, </w:t>
      </w:r>
      <w:proofErr w:type="spellStart"/>
      <w:r>
        <w:t>Parimel</w:t>
      </w:r>
      <w:proofErr w:type="spellEnd"/>
      <w:r>
        <w:t xml:space="preserve"> G. “The End of the Ends of Man?” </w:t>
      </w:r>
      <w:proofErr w:type="spellStart"/>
      <w:r w:rsidRPr="0013078C">
        <w:rPr>
          <w:rFonts w:hint="eastAsia"/>
        </w:rPr>
        <w:t>Yigal</w:t>
      </w:r>
      <w:proofErr w:type="spellEnd"/>
      <w:r w:rsidR="0013078C">
        <w:t xml:space="preserve"> </w:t>
      </w:r>
      <w:proofErr w:type="spellStart"/>
      <w:r w:rsidR="0013078C">
        <w:rPr>
          <w:rFonts w:hint="eastAsia"/>
        </w:rPr>
        <w:t>Bronner</w:t>
      </w:r>
      <w:proofErr w:type="spellEnd"/>
      <w:r w:rsidRPr="0013078C">
        <w:rPr>
          <w:rFonts w:hint="eastAsia"/>
        </w:rPr>
        <w:t>, Whitney Cox, and Lawrence J. McCrea</w:t>
      </w:r>
      <w:r w:rsidR="0013078C">
        <w:t>, eds</w:t>
      </w:r>
      <w:r w:rsidRPr="0013078C">
        <w:rPr>
          <w:rFonts w:hint="eastAsia"/>
        </w:rPr>
        <w:t>. </w:t>
      </w:r>
      <w:r w:rsidRPr="00157292">
        <w:rPr>
          <w:rFonts w:hint="eastAsia"/>
          <w:i/>
          <w:iCs/>
        </w:rPr>
        <w:t>South Asian Texts in History: Critical Engagements with Sheldon Pollock</w:t>
      </w:r>
      <w:r w:rsidRPr="00157292">
        <w:rPr>
          <w:rFonts w:hint="eastAsia"/>
          <w:i/>
        </w:rPr>
        <w:t xml:space="preserve">. </w:t>
      </w:r>
      <w:r w:rsidRPr="0013078C">
        <w:rPr>
          <w:rFonts w:hint="eastAsia"/>
        </w:rPr>
        <w:t>Delhi: Primus Books, 2016. Print.</w:t>
      </w:r>
    </w:p>
    <w:p w14:paraId="2BA36DC1" w14:textId="7D480857" w:rsidR="00157292" w:rsidRPr="00177C37" w:rsidRDefault="00157292" w:rsidP="00157292">
      <w:pPr>
        <w:spacing w:after="0" w:line="480" w:lineRule="auto"/>
        <w:ind w:left="720" w:hanging="720"/>
      </w:pPr>
      <w:r>
        <w:t xml:space="preserve">Patton, Laurie. “The Frogs Have Raised Their Voice: </w:t>
      </w:r>
      <w:proofErr w:type="spellStart"/>
      <w:r w:rsidRPr="00157292">
        <w:rPr>
          <w:i/>
        </w:rPr>
        <w:t>Rg</w:t>
      </w:r>
      <w:proofErr w:type="spellEnd"/>
      <w:r w:rsidRPr="00157292">
        <w:rPr>
          <w:i/>
        </w:rPr>
        <w:t xml:space="preserve"> Veda</w:t>
      </w:r>
      <w:r>
        <w:t xml:space="preserve"> 7.103 as a Poetic Contemplation of Dialogue.” </w:t>
      </w:r>
      <w:r w:rsidRPr="00177C37">
        <w:rPr>
          <w:rFonts w:hint="eastAsia"/>
        </w:rPr>
        <w:t>Brian</w:t>
      </w:r>
      <w:r>
        <w:t xml:space="preserve"> </w:t>
      </w:r>
      <w:r>
        <w:rPr>
          <w:rFonts w:hint="eastAsia"/>
        </w:rPr>
        <w:t>Black</w:t>
      </w:r>
      <w:r w:rsidRPr="00177C37">
        <w:rPr>
          <w:rFonts w:hint="eastAsia"/>
        </w:rPr>
        <w:t xml:space="preserve"> and Laurie L. Patton</w:t>
      </w:r>
      <w:r>
        <w:t>, eds</w:t>
      </w:r>
      <w:r w:rsidRPr="00177C37">
        <w:rPr>
          <w:rFonts w:hint="eastAsia"/>
        </w:rPr>
        <w:t>. </w:t>
      </w:r>
      <w:r w:rsidRPr="00177C37">
        <w:rPr>
          <w:rFonts w:hint="eastAsia"/>
          <w:i/>
          <w:iCs/>
        </w:rPr>
        <w:t>Dialogue in Early South Asian Religions: Hindu, Buddhist, and Jain Traditions</w:t>
      </w:r>
      <w:r>
        <w:rPr>
          <w:rFonts w:hint="eastAsia"/>
        </w:rPr>
        <w:t>.</w:t>
      </w:r>
      <w:r>
        <w:t xml:space="preserve"> Birmingham: </w:t>
      </w:r>
      <w:proofErr w:type="spellStart"/>
      <w:r>
        <w:t>Ashgate</w:t>
      </w:r>
      <w:proofErr w:type="spellEnd"/>
      <w:r>
        <w:t>,</w:t>
      </w:r>
      <w:r w:rsidRPr="00177C37">
        <w:rPr>
          <w:rFonts w:hint="eastAsia"/>
        </w:rPr>
        <w:t xml:space="preserve"> 2015. Print.</w:t>
      </w:r>
    </w:p>
    <w:p w14:paraId="73F78AB1" w14:textId="77777777" w:rsidR="0023408D" w:rsidRDefault="0023408D" w:rsidP="0023408D">
      <w:pPr>
        <w:spacing w:after="0" w:line="480" w:lineRule="auto"/>
        <w:ind w:left="720" w:hanging="720"/>
        <w:rPr>
          <w:bCs/>
        </w:rPr>
      </w:pPr>
      <w:r w:rsidRPr="00DD60C2">
        <w:t xml:space="preserve">Paxton </w:t>
      </w:r>
      <w:proofErr w:type="spellStart"/>
      <w:r w:rsidRPr="00DD60C2">
        <w:t>Foehr</w:t>
      </w:r>
      <w:proofErr w:type="spellEnd"/>
      <w:r>
        <w:t xml:space="preserve">, </w:t>
      </w:r>
      <w:r w:rsidRPr="00DD60C2">
        <w:t>Regina</w:t>
      </w:r>
      <w:r>
        <w:t xml:space="preserve"> and Susan A. Schiller, eds. </w:t>
      </w:r>
      <w:r w:rsidRPr="00DD60C2">
        <w:rPr>
          <w:i/>
          <w:iCs/>
        </w:rPr>
        <w:t>The Spiritual Side of Writing: Releasing the Learner’s Whole Potential. </w:t>
      </w:r>
      <w:r w:rsidRPr="00DD60C2">
        <w:t xml:space="preserve"> Portsmouth, NH: Boynton/Cook, 1997. 148-156. Print.</w:t>
      </w:r>
      <w:r w:rsidRPr="0023408D">
        <w:rPr>
          <w:rFonts w:ascii="Segoe UI" w:hAnsi="Segoe UI" w:cs="Segoe UI"/>
          <w:b/>
          <w:bCs/>
          <w:color w:val="555555"/>
          <w:sz w:val="21"/>
          <w:szCs w:val="21"/>
        </w:rPr>
        <w:t xml:space="preserve"> </w:t>
      </w:r>
    </w:p>
    <w:p w14:paraId="7B5C91FB" w14:textId="77777777" w:rsidR="00806DED" w:rsidRDefault="00806DED" w:rsidP="00806DED">
      <w:pPr>
        <w:spacing w:after="0" w:line="480" w:lineRule="auto"/>
        <w:ind w:left="720" w:hanging="720"/>
        <w:rPr>
          <w:i/>
          <w:highlight w:val="white"/>
        </w:rPr>
      </w:pPr>
      <w:r w:rsidRPr="00806DED">
        <w:rPr>
          <w:highlight w:val="white"/>
        </w:rPr>
        <w:t xml:space="preserve">Perkins, Priscilla. “‘A Radical Conversion of the Mind’: Fundamentalism, Hermeneutics, and the </w:t>
      </w:r>
      <w:proofErr w:type="spellStart"/>
      <w:r w:rsidRPr="00806DED">
        <w:rPr>
          <w:highlight w:val="white"/>
        </w:rPr>
        <w:t>Metanoic</w:t>
      </w:r>
      <w:proofErr w:type="spellEnd"/>
      <w:r w:rsidRPr="00806DED">
        <w:rPr>
          <w:highlight w:val="white"/>
        </w:rPr>
        <w:t xml:space="preserve"> Classroom.” </w:t>
      </w:r>
      <w:r w:rsidRPr="00806DED">
        <w:rPr>
          <w:i/>
          <w:iCs/>
          <w:highlight w:val="white"/>
        </w:rPr>
        <w:t>College English </w:t>
      </w:r>
      <w:r w:rsidRPr="00806DED">
        <w:rPr>
          <w:highlight w:val="white"/>
        </w:rPr>
        <w:t>63.5 (May 2001): 585-611. Print.</w:t>
      </w:r>
    </w:p>
    <w:p w14:paraId="61C46050" w14:textId="77777777" w:rsidR="00806DED" w:rsidRDefault="00806DED" w:rsidP="00806DED">
      <w:pPr>
        <w:spacing w:after="0" w:line="480" w:lineRule="auto"/>
        <w:ind w:left="720" w:hanging="720"/>
        <w:rPr>
          <w:i/>
          <w:highlight w:val="white"/>
        </w:rPr>
      </w:pPr>
      <w:proofErr w:type="spellStart"/>
      <w:r w:rsidRPr="00806DED">
        <w:rPr>
          <w:highlight w:val="white"/>
        </w:rPr>
        <w:t>Pernot</w:t>
      </w:r>
      <w:proofErr w:type="spellEnd"/>
      <w:r w:rsidRPr="00806DED">
        <w:rPr>
          <w:highlight w:val="white"/>
        </w:rPr>
        <w:t>, Laurent. “The Rhetoric of Religion.” </w:t>
      </w:r>
      <w:proofErr w:type="spellStart"/>
      <w:r w:rsidRPr="00806DED">
        <w:rPr>
          <w:i/>
          <w:iCs/>
          <w:highlight w:val="white"/>
        </w:rPr>
        <w:t>Rhetorica</w:t>
      </w:r>
      <w:proofErr w:type="spellEnd"/>
      <w:r w:rsidRPr="00806DED">
        <w:rPr>
          <w:highlight w:val="white"/>
        </w:rPr>
        <w:t> 24.3 (2006): 235-54. Print.</w:t>
      </w:r>
    </w:p>
    <w:p w14:paraId="3852E8C7" w14:textId="77777777" w:rsidR="00806DED" w:rsidRDefault="00B6088B" w:rsidP="00806DED">
      <w:pPr>
        <w:spacing w:after="0" w:line="480" w:lineRule="auto"/>
        <w:ind w:left="720" w:hanging="720"/>
        <w:rPr>
          <w:i/>
          <w:highlight w:val="white"/>
        </w:rPr>
      </w:pPr>
      <w:proofErr w:type="spellStart"/>
      <w:r>
        <w:rPr>
          <w:highlight w:val="white"/>
        </w:rPr>
        <w:t>Proença</w:t>
      </w:r>
      <w:proofErr w:type="spellEnd"/>
      <w:r>
        <w:rPr>
          <w:highlight w:val="white"/>
        </w:rPr>
        <w:t xml:space="preserve">, Antony de. </w:t>
      </w:r>
      <w:r>
        <w:rPr>
          <w:i/>
          <w:highlight w:val="white"/>
        </w:rPr>
        <w:t xml:space="preserve">Annual Letters of the Madurai Mission, 1655-1656. </w:t>
      </w:r>
    </w:p>
    <w:p w14:paraId="3683459F" w14:textId="34D73670" w:rsidR="00BC0DA9" w:rsidRDefault="00BC0DA9" w:rsidP="00806DED">
      <w:pPr>
        <w:spacing w:after="0" w:line="480" w:lineRule="auto"/>
        <w:ind w:left="720" w:hanging="720"/>
      </w:pPr>
      <w:proofErr w:type="spellStart"/>
      <w:r w:rsidRPr="00BC0DA9">
        <w:t>Rajamanickam</w:t>
      </w:r>
      <w:proofErr w:type="spellEnd"/>
      <w:r>
        <w:t xml:space="preserve">, </w:t>
      </w:r>
      <w:proofErr w:type="spellStart"/>
      <w:r w:rsidRPr="00BC0DA9">
        <w:t>Svarimuthu</w:t>
      </w:r>
      <w:proofErr w:type="spellEnd"/>
      <w:r>
        <w:t xml:space="preserve"> (trans.)</w:t>
      </w:r>
      <w:r w:rsidRPr="00BC0DA9">
        <w:t xml:space="preserve">. </w:t>
      </w:r>
      <w:r w:rsidRPr="00BC0DA9">
        <w:rPr>
          <w:i/>
        </w:rPr>
        <w:t>Roberto De Nobili on Indian Customs</w:t>
      </w:r>
      <w:r w:rsidRPr="00BC0DA9">
        <w:t xml:space="preserve">. </w:t>
      </w:r>
      <w:proofErr w:type="spellStart"/>
      <w:r w:rsidRPr="00BC0DA9">
        <w:t>Palayamkottai</w:t>
      </w:r>
      <w:proofErr w:type="spellEnd"/>
      <w:r w:rsidRPr="00BC0DA9">
        <w:t>: De Nobili Research Institute, 1972. Print.</w:t>
      </w:r>
    </w:p>
    <w:p w14:paraId="2653ECE6" w14:textId="384C6BDE" w:rsidR="009D24EC" w:rsidRDefault="009D24EC" w:rsidP="00806DED">
      <w:pPr>
        <w:spacing w:after="0" w:line="480" w:lineRule="auto"/>
        <w:ind w:left="720" w:hanging="720"/>
        <w:rPr>
          <w:highlight w:val="white"/>
        </w:rPr>
      </w:pPr>
      <w:r>
        <w:t xml:space="preserve">---. </w:t>
      </w:r>
      <w:r w:rsidRPr="009D24EC">
        <w:rPr>
          <w:i/>
        </w:rPr>
        <w:t>The First Oriental Scholar</w:t>
      </w:r>
      <w:r>
        <w:t xml:space="preserve">. Tirunelveli, </w:t>
      </w:r>
      <w:r w:rsidRPr="009D24EC">
        <w:t>1972</w:t>
      </w:r>
      <w:r>
        <w:t>. Print.</w:t>
      </w:r>
    </w:p>
    <w:p w14:paraId="62E85867" w14:textId="5FB8E346" w:rsidR="00ED7CA3" w:rsidRPr="00806DED" w:rsidRDefault="00ED7CA3" w:rsidP="00806DED">
      <w:pPr>
        <w:spacing w:after="0" w:line="480" w:lineRule="auto"/>
        <w:ind w:left="720" w:hanging="720"/>
        <w:rPr>
          <w:i/>
          <w:highlight w:val="white"/>
        </w:rPr>
      </w:pPr>
      <w:r w:rsidRPr="00ED7CA3">
        <w:rPr>
          <w:highlight w:val="white"/>
        </w:rPr>
        <w:t xml:space="preserve">Ringer, Jeffrey. </w:t>
      </w:r>
      <w:r w:rsidRPr="00ED7CA3">
        <w:rPr>
          <w:i/>
          <w:iCs/>
          <w:highlight w:val="white"/>
        </w:rPr>
        <w:t>Vernacular Christian Rhetoric and Civil Discourse: The Religious Creativity of Evangelical Student Writers. </w:t>
      </w:r>
      <w:r w:rsidRPr="00ED7CA3">
        <w:rPr>
          <w:highlight w:val="white"/>
        </w:rPr>
        <w:t>New York: Routledge, 2016. Print.</w:t>
      </w:r>
    </w:p>
    <w:p w14:paraId="5885385D" w14:textId="77777777" w:rsidR="0013078C" w:rsidRPr="00177C37" w:rsidRDefault="00583B03" w:rsidP="0013078C">
      <w:pPr>
        <w:spacing w:after="0" w:line="480" w:lineRule="auto"/>
        <w:ind w:left="720" w:hanging="720"/>
      </w:pPr>
      <w:proofErr w:type="spellStart"/>
      <w:r>
        <w:lastRenderedPageBreak/>
        <w:t>Rohlman</w:t>
      </w:r>
      <w:proofErr w:type="spellEnd"/>
      <w:r w:rsidR="0013078C">
        <w:t>, Elizabeth M</w:t>
      </w:r>
      <w:r>
        <w:t>.</w:t>
      </w:r>
      <w:r w:rsidR="0013078C">
        <w:t xml:space="preserve"> “The Dialogue of Tradition: </w:t>
      </w:r>
      <w:proofErr w:type="spellStart"/>
      <w:r w:rsidR="0013078C">
        <w:t>Purāna</w:t>
      </w:r>
      <w:proofErr w:type="spellEnd"/>
      <w:r w:rsidR="0013078C">
        <w:t xml:space="preserve">, </w:t>
      </w:r>
      <w:proofErr w:type="spellStart"/>
      <w:r w:rsidR="0013078C">
        <w:t>Gītā</w:t>
      </w:r>
      <w:proofErr w:type="spellEnd"/>
      <w:r w:rsidR="0013078C">
        <w:t xml:space="preserve">, Polemic, and </w:t>
      </w:r>
      <w:proofErr w:type="spellStart"/>
      <w:r w:rsidR="0013078C">
        <w:t>Doxography</w:t>
      </w:r>
      <w:proofErr w:type="spellEnd"/>
      <w:r w:rsidR="0013078C">
        <w:t xml:space="preserve">.” </w:t>
      </w:r>
      <w:r w:rsidR="0013078C" w:rsidRPr="00177C37">
        <w:rPr>
          <w:rFonts w:hint="eastAsia"/>
        </w:rPr>
        <w:t>Brian</w:t>
      </w:r>
      <w:r w:rsidR="0013078C">
        <w:t xml:space="preserve"> </w:t>
      </w:r>
      <w:r w:rsidR="0013078C">
        <w:rPr>
          <w:rFonts w:hint="eastAsia"/>
        </w:rPr>
        <w:t>Black</w:t>
      </w:r>
      <w:r w:rsidR="0013078C" w:rsidRPr="00177C37">
        <w:rPr>
          <w:rFonts w:hint="eastAsia"/>
        </w:rPr>
        <w:t xml:space="preserve"> and Laurie L. Patton</w:t>
      </w:r>
      <w:r w:rsidR="0013078C">
        <w:t>, eds</w:t>
      </w:r>
      <w:r w:rsidR="0013078C" w:rsidRPr="00177C37">
        <w:rPr>
          <w:rFonts w:hint="eastAsia"/>
        </w:rPr>
        <w:t>. </w:t>
      </w:r>
      <w:r w:rsidR="0013078C" w:rsidRPr="00177C37">
        <w:rPr>
          <w:rFonts w:hint="eastAsia"/>
          <w:i/>
          <w:iCs/>
        </w:rPr>
        <w:t>Dialogue in Early South Asian Religions: Hindu, Buddhist, and Jain Traditions</w:t>
      </w:r>
      <w:r w:rsidR="0013078C">
        <w:rPr>
          <w:rFonts w:hint="eastAsia"/>
        </w:rPr>
        <w:t>.</w:t>
      </w:r>
      <w:r w:rsidR="0013078C">
        <w:t xml:space="preserve"> Birmingham: </w:t>
      </w:r>
      <w:proofErr w:type="spellStart"/>
      <w:r w:rsidR="0013078C">
        <w:t>Ashgate</w:t>
      </w:r>
      <w:proofErr w:type="spellEnd"/>
      <w:r w:rsidR="0013078C">
        <w:t>,</w:t>
      </w:r>
      <w:r w:rsidR="0013078C" w:rsidRPr="00177C37">
        <w:rPr>
          <w:rFonts w:hint="eastAsia"/>
        </w:rPr>
        <w:t xml:space="preserve"> 2015. Print.</w:t>
      </w:r>
    </w:p>
    <w:p w14:paraId="72E9083D" w14:textId="3A17A648" w:rsidR="00861D82" w:rsidRDefault="00012007" w:rsidP="00806DED">
      <w:pPr>
        <w:spacing w:after="0" w:line="480" w:lineRule="auto"/>
        <w:ind w:left="720" w:hanging="720"/>
      </w:pPr>
      <w:proofErr w:type="spellStart"/>
      <w:r>
        <w:rPr>
          <w:rFonts w:hint="eastAsia"/>
        </w:rPr>
        <w:t>Saulière</w:t>
      </w:r>
      <w:proofErr w:type="spellEnd"/>
      <w:r>
        <w:rPr>
          <w:rFonts w:hint="eastAsia"/>
        </w:rPr>
        <w:t>, Augustine</w:t>
      </w:r>
      <w:r w:rsidRPr="00012007">
        <w:rPr>
          <w:rFonts w:hint="eastAsia"/>
        </w:rPr>
        <w:t>. </w:t>
      </w:r>
      <w:r w:rsidRPr="00012007">
        <w:rPr>
          <w:rFonts w:hint="eastAsia"/>
          <w:i/>
          <w:iCs/>
        </w:rPr>
        <w:t>His Star in the East</w:t>
      </w:r>
      <w:r w:rsidRPr="00012007">
        <w:rPr>
          <w:rFonts w:hint="eastAsia"/>
        </w:rPr>
        <w:t>. Madras: De Nobili Research Institute, 1995. Print.</w:t>
      </w:r>
    </w:p>
    <w:p w14:paraId="70AE5960" w14:textId="7C4DEA00" w:rsidR="00806DED" w:rsidRDefault="00806DED" w:rsidP="00806DED">
      <w:pPr>
        <w:spacing w:after="0" w:line="480" w:lineRule="auto"/>
        <w:ind w:left="720" w:hanging="720"/>
        <w:rPr>
          <w:highlight w:val="white"/>
        </w:rPr>
      </w:pPr>
      <w:r w:rsidRPr="00806DED">
        <w:t xml:space="preserve">Spina, Luigi. “Fall and Rise of Religion and Rhetoric.” </w:t>
      </w:r>
      <w:proofErr w:type="spellStart"/>
      <w:r w:rsidRPr="00806DED">
        <w:rPr>
          <w:i/>
        </w:rPr>
        <w:t>Rhetorica</w:t>
      </w:r>
      <w:proofErr w:type="spellEnd"/>
      <w:r w:rsidRPr="00806DED">
        <w:t xml:space="preserve"> 26.3 (2008): 209-220. Print.</w:t>
      </w:r>
    </w:p>
    <w:p w14:paraId="6F7C1061" w14:textId="77777777" w:rsidR="00806DED" w:rsidRDefault="00251C26" w:rsidP="00806DED">
      <w:pPr>
        <w:spacing w:after="0" w:line="480" w:lineRule="auto"/>
        <w:ind w:left="720" w:hanging="720"/>
        <w:rPr>
          <w:highlight w:val="white"/>
        </w:rPr>
      </w:pPr>
      <w:r>
        <w:rPr>
          <w:highlight w:val="white"/>
        </w:rPr>
        <w:t xml:space="preserve">Swearingen, C. Jan. "Tao Trek: One and Other in Comparative Rhetoric, A Response." </w:t>
      </w:r>
      <w:r>
        <w:rPr>
          <w:i/>
          <w:highlight w:val="white"/>
        </w:rPr>
        <w:t>Rhetoric Society Quarterly</w:t>
      </w:r>
      <w:r>
        <w:rPr>
          <w:highlight w:val="white"/>
        </w:rPr>
        <w:t xml:space="preserve"> 43.3 (2013): 300-309.</w:t>
      </w:r>
    </w:p>
    <w:p w14:paraId="4EE54F63" w14:textId="058D5BEB" w:rsidR="00ED7CA3" w:rsidRDefault="00ED7CA3" w:rsidP="00806DED">
      <w:pPr>
        <w:spacing w:after="0" w:line="480" w:lineRule="auto"/>
        <w:ind w:left="720" w:hanging="720"/>
        <w:rPr>
          <w:highlight w:val="white"/>
        </w:rPr>
      </w:pPr>
      <w:r w:rsidRPr="00ED7CA3">
        <w:rPr>
          <w:highlight w:val="white"/>
        </w:rPr>
        <w:t xml:space="preserve">Thomson-Bunn, Heather. </w:t>
      </w:r>
      <w:r>
        <w:rPr>
          <w:highlight w:val="white"/>
        </w:rPr>
        <w:t>“</w:t>
      </w:r>
      <w:r w:rsidRPr="00ED7CA3">
        <w:rPr>
          <w:highlight w:val="white"/>
        </w:rPr>
        <w:t>Mediating Discursive Worlds: When Academic Norms and Religious Belief Conflict.” </w:t>
      </w:r>
      <w:r w:rsidRPr="00ED7CA3">
        <w:rPr>
          <w:i/>
          <w:iCs/>
          <w:highlight w:val="white"/>
        </w:rPr>
        <w:t>College English </w:t>
      </w:r>
      <w:r w:rsidRPr="00ED7CA3">
        <w:rPr>
          <w:highlight w:val="white"/>
        </w:rPr>
        <w:t>79.1 (2017): 276-296. Print.</w:t>
      </w:r>
    </w:p>
    <w:p w14:paraId="343AD9FD" w14:textId="77777777" w:rsidR="00806DED" w:rsidRDefault="00251C26" w:rsidP="00806DED">
      <w:pPr>
        <w:spacing w:after="0" w:line="480" w:lineRule="auto"/>
        <w:ind w:left="720" w:hanging="720"/>
        <w:rPr>
          <w:highlight w:val="white"/>
        </w:rPr>
      </w:pPr>
      <w:r>
        <w:rPr>
          <w:highlight w:val="white"/>
        </w:rPr>
        <w:t xml:space="preserve">Wang, Bo. "Comparative rhetoric, postcolonial studies, and transnational feminisms: A geopolitical approach." </w:t>
      </w:r>
      <w:r>
        <w:rPr>
          <w:i/>
        </w:rPr>
        <w:t>Rhetoric Society Quarterly</w:t>
      </w:r>
      <w:r>
        <w:rPr>
          <w:highlight w:val="white"/>
        </w:rPr>
        <w:t xml:space="preserve"> 43.3 (2013): 226-242.</w:t>
      </w:r>
    </w:p>
    <w:p w14:paraId="524A83F0" w14:textId="50C9997F" w:rsidR="00ED7CA3" w:rsidRPr="00ED7CA3" w:rsidRDefault="00ED7CA3" w:rsidP="00806DED">
      <w:pPr>
        <w:spacing w:after="0" w:line="480" w:lineRule="auto"/>
        <w:ind w:left="720" w:hanging="720"/>
        <w:rPr>
          <w:highlight w:val="white"/>
        </w:rPr>
      </w:pPr>
      <w:r w:rsidRPr="00ED7CA3">
        <w:rPr>
          <w:highlight w:val="white"/>
        </w:rPr>
        <w:t xml:space="preserve">Vander Lei, Elizabeth, and Bonnie </w:t>
      </w:r>
      <w:proofErr w:type="spellStart"/>
      <w:r w:rsidRPr="00ED7CA3">
        <w:rPr>
          <w:highlight w:val="white"/>
        </w:rPr>
        <w:t>Leonore</w:t>
      </w:r>
      <w:proofErr w:type="spellEnd"/>
      <w:r w:rsidRPr="00ED7CA3">
        <w:rPr>
          <w:highlight w:val="white"/>
        </w:rPr>
        <w:t xml:space="preserve"> </w:t>
      </w:r>
      <w:proofErr w:type="spellStart"/>
      <w:r w:rsidRPr="00ED7CA3">
        <w:rPr>
          <w:highlight w:val="white"/>
        </w:rPr>
        <w:t>Kyburz</w:t>
      </w:r>
      <w:proofErr w:type="spellEnd"/>
      <w:r w:rsidRPr="00ED7CA3">
        <w:rPr>
          <w:highlight w:val="white"/>
        </w:rPr>
        <w:t>. </w:t>
      </w:r>
      <w:r w:rsidRPr="00ED7CA3">
        <w:rPr>
          <w:i/>
          <w:iCs/>
          <w:highlight w:val="white"/>
        </w:rPr>
        <w:t>Negotiating Religious Faith in the Composition Classroom</w:t>
      </w:r>
      <w:r w:rsidRPr="00ED7CA3">
        <w:rPr>
          <w:highlight w:val="white"/>
        </w:rPr>
        <w:t>. Portsmouth, NH: Heinemann, 2005. Print.</w:t>
      </w:r>
    </w:p>
    <w:p w14:paraId="381E8922" w14:textId="77777777" w:rsidR="007D3A81" w:rsidRDefault="00251C26" w:rsidP="00083F86">
      <w:pPr>
        <w:spacing w:after="0" w:line="480" w:lineRule="auto"/>
        <w:ind w:left="720" w:hanging="720"/>
        <w:rPr>
          <w:highlight w:val="white"/>
        </w:rPr>
      </w:pPr>
      <w:r>
        <w:rPr>
          <w:highlight w:val="white"/>
        </w:rPr>
        <w:t xml:space="preserve">Vander Lei, Elizabeth, et al., eds. </w:t>
      </w:r>
      <w:r>
        <w:rPr>
          <w:i/>
          <w:highlight w:val="white"/>
        </w:rPr>
        <w:t>Renovating rhetoric in Christian tradition</w:t>
      </w:r>
      <w:r>
        <w:rPr>
          <w:highlight w:val="white"/>
        </w:rPr>
        <w:t>. University of Pittsburgh Press, 2014.</w:t>
      </w:r>
    </w:p>
    <w:p w14:paraId="04DE97E2" w14:textId="1FE35E88" w:rsidR="00B6088B" w:rsidRPr="00B6088B" w:rsidRDefault="00B6088B" w:rsidP="00083F86">
      <w:pPr>
        <w:spacing w:after="0" w:line="480" w:lineRule="auto"/>
        <w:ind w:left="720" w:hanging="720"/>
        <w:rPr>
          <w:highlight w:val="white"/>
        </w:rPr>
      </w:pPr>
      <w:proofErr w:type="spellStart"/>
      <w:r>
        <w:rPr>
          <w:highlight w:val="white"/>
        </w:rPr>
        <w:t>Vico</w:t>
      </w:r>
      <w:proofErr w:type="spellEnd"/>
      <w:r>
        <w:rPr>
          <w:highlight w:val="white"/>
        </w:rPr>
        <w:t xml:space="preserve">, Antony. </w:t>
      </w:r>
      <w:proofErr w:type="gramStart"/>
      <w:r w:rsidR="00806DED">
        <w:rPr>
          <w:i/>
          <w:highlight w:val="white"/>
        </w:rPr>
        <w:t>Thirty Four</w:t>
      </w:r>
      <w:proofErr w:type="gramEnd"/>
      <w:r w:rsidR="00806DED">
        <w:rPr>
          <w:i/>
          <w:highlight w:val="white"/>
        </w:rPr>
        <w:t xml:space="preserve"> Letters Written</w:t>
      </w:r>
      <w:r>
        <w:rPr>
          <w:i/>
          <w:highlight w:val="white"/>
        </w:rPr>
        <w:t xml:space="preserve"> between the years 1607-1632. </w:t>
      </w:r>
      <w:r>
        <w:rPr>
          <w:highlight w:val="white"/>
        </w:rPr>
        <w:t xml:space="preserve">ARSI, 51. </w:t>
      </w:r>
    </w:p>
    <w:p w14:paraId="067FBFBC" w14:textId="77777777" w:rsidR="007D3A81" w:rsidRDefault="00251C26" w:rsidP="00083F86">
      <w:pPr>
        <w:spacing w:after="0" w:line="480" w:lineRule="auto"/>
        <w:ind w:left="720" w:hanging="720"/>
      </w:pPr>
      <w:r>
        <w:rPr>
          <w:highlight w:val="white"/>
        </w:rPr>
        <w:t xml:space="preserve">You, </w:t>
      </w:r>
      <w:proofErr w:type="spellStart"/>
      <w:r>
        <w:rPr>
          <w:highlight w:val="white"/>
        </w:rPr>
        <w:t>Xiaoye</w:t>
      </w:r>
      <w:proofErr w:type="spellEnd"/>
      <w:r>
        <w:rPr>
          <w:highlight w:val="white"/>
        </w:rPr>
        <w:t xml:space="preserve">. </w:t>
      </w:r>
      <w:r>
        <w:rPr>
          <w:i/>
          <w:highlight w:val="white"/>
        </w:rPr>
        <w:t xml:space="preserve">Cosmopolitan English and </w:t>
      </w:r>
      <w:proofErr w:type="spellStart"/>
      <w:r>
        <w:rPr>
          <w:i/>
          <w:highlight w:val="white"/>
        </w:rPr>
        <w:t>Transliteracy</w:t>
      </w:r>
      <w:proofErr w:type="spellEnd"/>
      <w:r>
        <w:rPr>
          <w:highlight w:val="white"/>
        </w:rPr>
        <w:t>. SIU Press, 2016.</w:t>
      </w:r>
    </w:p>
    <w:p w14:paraId="06BE7157" w14:textId="77777777" w:rsidR="00650DB7" w:rsidRPr="00650DB7" w:rsidRDefault="00650DB7" w:rsidP="00650DB7">
      <w:pPr>
        <w:spacing w:after="0" w:line="480" w:lineRule="auto"/>
        <w:ind w:left="720" w:hanging="720"/>
      </w:pPr>
      <w:proofErr w:type="spellStart"/>
      <w:r w:rsidRPr="00650DB7">
        <w:rPr>
          <w:rFonts w:hint="eastAsia"/>
        </w:rPr>
        <w:t>Županov</w:t>
      </w:r>
      <w:proofErr w:type="spellEnd"/>
      <w:r w:rsidRPr="00650DB7">
        <w:rPr>
          <w:rFonts w:hint="eastAsia"/>
        </w:rPr>
        <w:t>, Ines G. </w:t>
      </w:r>
      <w:r w:rsidRPr="00650DB7">
        <w:rPr>
          <w:rFonts w:hint="eastAsia"/>
          <w:i/>
          <w:iCs/>
        </w:rPr>
        <w:t xml:space="preserve">Disputed Mission: Jesuit Experiments and </w:t>
      </w:r>
      <w:proofErr w:type="spellStart"/>
      <w:r w:rsidRPr="00650DB7">
        <w:rPr>
          <w:rFonts w:hint="eastAsia"/>
          <w:i/>
          <w:iCs/>
        </w:rPr>
        <w:t>Brahmanical</w:t>
      </w:r>
      <w:proofErr w:type="spellEnd"/>
      <w:r w:rsidRPr="00650DB7">
        <w:rPr>
          <w:rFonts w:hint="eastAsia"/>
          <w:i/>
          <w:iCs/>
        </w:rPr>
        <w:t xml:space="preserve"> Knowledge in Seventeenth-Century India</w:t>
      </w:r>
      <w:r w:rsidRPr="00650DB7">
        <w:rPr>
          <w:rFonts w:hint="eastAsia"/>
        </w:rPr>
        <w:t>. Delhi: Oxford University Press, 2001. Print.</w:t>
      </w:r>
    </w:p>
    <w:p w14:paraId="38C84757" w14:textId="77777777" w:rsidR="00650DB7" w:rsidRDefault="00650DB7" w:rsidP="00083F86">
      <w:pPr>
        <w:spacing w:after="0" w:line="480" w:lineRule="auto"/>
        <w:ind w:left="720" w:hanging="720"/>
      </w:pPr>
    </w:p>
    <w:p w14:paraId="6B026DA1" w14:textId="5AED279B" w:rsidR="00DD60C2" w:rsidRPr="00DD60C2" w:rsidRDefault="00DD60C2" w:rsidP="00DD60C2">
      <w:pPr>
        <w:spacing w:after="0" w:line="480" w:lineRule="auto"/>
        <w:ind w:left="720" w:hanging="720"/>
      </w:pPr>
    </w:p>
    <w:p w14:paraId="377C7A03" w14:textId="77777777" w:rsidR="00DD60C2" w:rsidRDefault="00DD60C2" w:rsidP="00083F86">
      <w:pPr>
        <w:spacing w:after="0" w:line="480" w:lineRule="auto"/>
        <w:ind w:left="720" w:hanging="720"/>
      </w:pPr>
    </w:p>
    <w:p w14:paraId="6DEB55BA" w14:textId="17865D30" w:rsidR="00B72520" w:rsidRDefault="00B72520">
      <w:r>
        <w:br w:type="page"/>
      </w:r>
    </w:p>
    <w:p w14:paraId="18B1C0A6" w14:textId="76385B58" w:rsidR="007D3A81" w:rsidRDefault="00B72520" w:rsidP="00B72520">
      <w:pPr>
        <w:spacing w:after="0" w:line="480" w:lineRule="auto"/>
        <w:jc w:val="center"/>
      </w:pPr>
      <w:r>
        <w:lastRenderedPageBreak/>
        <w:t>Notes</w:t>
      </w:r>
    </w:p>
    <w:sectPr w:rsidR="007D3A8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8054A" w14:textId="77777777" w:rsidR="007F3837" w:rsidRDefault="007F3837">
      <w:pPr>
        <w:spacing w:after="0" w:line="240" w:lineRule="auto"/>
      </w:pPr>
      <w:r>
        <w:separator/>
      </w:r>
    </w:p>
  </w:endnote>
  <w:endnote w:type="continuationSeparator" w:id="0">
    <w:p w14:paraId="64CA00F7" w14:textId="77777777" w:rsidR="007F3837" w:rsidRDefault="007F3837">
      <w:pPr>
        <w:spacing w:after="0" w:line="240" w:lineRule="auto"/>
      </w:pPr>
      <w:r>
        <w:continuationSeparator/>
      </w:r>
    </w:p>
  </w:endnote>
  <w:endnote w:id="1">
    <w:p w14:paraId="26EC6580" w14:textId="0F102209" w:rsidR="00CF0879" w:rsidRDefault="00CF0879" w:rsidP="008833E3">
      <w:pPr>
        <w:pStyle w:val="EndnoteText"/>
        <w:ind w:firstLine="720"/>
      </w:pPr>
      <w:r w:rsidRPr="00B81FA7">
        <w:rPr>
          <w:rStyle w:val="EndnoteReference"/>
        </w:rPr>
        <w:endnoteRef/>
      </w:r>
      <w:r w:rsidRPr="00B81FA7">
        <w:t xml:space="preserve"> Francis Xavier Clooney and </w:t>
      </w:r>
      <w:proofErr w:type="spellStart"/>
      <w:r w:rsidRPr="00B81FA7">
        <w:t>Soosai</w:t>
      </w:r>
      <w:proofErr w:type="spellEnd"/>
      <w:r w:rsidRPr="00B81FA7">
        <w:t xml:space="preserve"> </w:t>
      </w:r>
      <w:proofErr w:type="spellStart"/>
      <w:r w:rsidRPr="00B81FA7">
        <w:t>Arokiasamy</w:t>
      </w:r>
      <w:proofErr w:type="spellEnd"/>
      <w:r w:rsidRPr="00B81FA7">
        <w:t xml:space="preserve"> have used the work of de Nobili as one way into imagining comparative theology. See Clooney, </w:t>
      </w:r>
      <w:r w:rsidRPr="00B81FA7">
        <w:rPr>
          <w:rFonts w:hint="eastAsia"/>
          <w:i/>
          <w:iCs/>
        </w:rPr>
        <w:t>Hindu God, Christian God</w:t>
      </w:r>
      <w:r w:rsidRPr="00B81FA7">
        <w:t xml:space="preserve"> and </w:t>
      </w:r>
      <w:proofErr w:type="spellStart"/>
      <w:r w:rsidRPr="00B81FA7">
        <w:t>Arokiasamy</w:t>
      </w:r>
      <w:proofErr w:type="spellEnd"/>
      <w:r w:rsidRPr="00B81FA7">
        <w:t xml:space="preserve">, </w:t>
      </w:r>
      <w:r w:rsidRPr="00B81FA7">
        <w:rPr>
          <w:rFonts w:hint="eastAsia"/>
          <w:i/>
          <w:iCs/>
        </w:rPr>
        <w:t>Dharma, Hindu and Christian According to Roberto De Nobili</w:t>
      </w:r>
      <w:r w:rsidRPr="00B81FA7">
        <w:rPr>
          <w:i/>
          <w:iCs/>
        </w:rPr>
        <w:t xml:space="preserve"> </w:t>
      </w:r>
      <w:r w:rsidRPr="00B81FA7">
        <w:t>for a comparison of Hindu and Christian concepts of divinity.</w:t>
      </w:r>
      <w:r>
        <w:t xml:space="preserve"> </w:t>
      </w:r>
    </w:p>
    <w:p w14:paraId="418233D6" w14:textId="77777777" w:rsidR="00E7065A" w:rsidRDefault="00E7065A" w:rsidP="008833E3">
      <w:pPr>
        <w:pStyle w:val="EndnoteText"/>
        <w:ind w:firstLine="720"/>
      </w:pPr>
    </w:p>
  </w:endnote>
  <w:endnote w:id="2">
    <w:p w14:paraId="43664438" w14:textId="77777777" w:rsidR="00CF0879" w:rsidRDefault="00CF0879" w:rsidP="00E7065A">
      <w:pPr>
        <w:pStyle w:val="EndnoteText"/>
        <w:ind w:firstLine="720"/>
      </w:pPr>
      <w:r>
        <w:rPr>
          <w:rStyle w:val="EndnoteReference"/>
        </w:rPr>
        <w:endnoteRef/>
      </w:r>
      <w:r>
        <w:t xml:space="preserve"> In addition to Thomas </w:t>
      </w:r>
      <w:proofErr w:type="spellStart"/>
      <w:r>
        <w:t>Amorose</w:t>
      </w:r>
      <w:proofErr w:type="spellEnd"/>
      <w:r>
        <w:t xml:space="preserve">, Lynch and Miller point to the work of Sharon Crowley, Maxine Hairston, David </w:t>
      </w:r>
      <w:proofErr w:type="spellStart"/>
      <w:r>
        <w:t>Bleich</w:t>
      </w:r>
      <w:proofErr w:type="spellEnd"/>
      <w:r>
        <w:t xml:space="preserve">, Chris Anson, and Keith </w:t>
      </w:r>
      <w:proofErr w:type="spellStart"/>
      <w:r>
        <w:t>Gilyard</w:t>
      </w:r>
      <w:proofErr w:type="spellEnd"/>
      <w:r>
        <w:t xml:space="preserve"> as examples of work that has taken a critical stance towards religion. This work has suggested in one way or another that religious belief conflicts with academic inquiry and often can constrain the creative and critical capacities of students. </w:t>
      </w:r>
    </w:p>
    <w:p w14:paraId="12F0F8B7" w14:textId="77777777" w:rsidR="00E7065A" w:rsidRDefault="00E7065A" w:rsidP="00CE1C0A">
      <w:pPr>
        <w:pStyle w:val="EndnoteText"/>
      </w:pPr>
    </w:p>
  </w:endnote>
  <w:endnote w:id="3">
    <w:p w14:paraId="359AC02D" w14:textId="05CFE0D5" w:rsidR="00CF0879" w:rsidRPr="006D0EAF" w:rsidRDefault="00CF0879" w:rsidP="00EF142C">
      <w:pPr>
        <w:pStyle w:val="EndnoteText"/>
        <w:ind w:firstLine="720"/>
      </w:pPr>
      <w:r>
        <w:rPr>
          <w:rStyle w:val="EndnoteReference"/>
        </w:rPr>
        <w:endnoteRef/>
      </w:r>
      <w:r>
        <w:t xml:space="preserve"> Notably, the 2007 and 2008 plenary addresses of the International Society for the History of Rhetoric responded to the “return” of religion by encouraging </w:t>
      </w:r>
      <w:r w:rsidR="00803314">
        <w:t xml:space="preserve">rhetoric </w:t>
      </w:r>
      <w:r>
        <w:t xml:space="preserve">scholars to find new ways of thinking about religion. And in 2005, </w:t>
      </w:r>
      <w:r w:rsidR="00803314">
        <w:t xml:space="preserve">Stanley </w:t>
      </w:r>
      <w:r>
        <w:t xml:space="preserve">Fish identified religion as the next area of humanistic inquiry, one that could conceivably displace the humanities’ preoccupation with race, class and gender. Scholars have responded to this call with a flurry of recent collections that investigate writing and spirituality, </w:t>
      </w:r>
      <w:r w:rsidRPr="006D0EAF">
        <w:rPr>
          <w:i/>
          <w:iCs/>
        </w:rPr>
        <w:t>The Spiritual Side of Writing</w:t>
      </w:r>
      <w:r w:rsidRPr="006D0EAF">
        <w:t> (1997)</w:t>
      </w:r>
      <w:r>
        <w:t xml:space="preserve">, </w:t>
      </w:r>
      <w:r w:rsidR="00803314">
        <w:t xml:space="preserve">and </w:t>
      </w:r>
      <w:r>
        <w:t xml:space="preserve">pursue religion’s place in the academy, </w:t>
      </w:r>
      <w:r w:rsidRPr="006D0EAF">
        <w:rPr>
          <w:i/>
          <w:iCs/>
        </w:rPr>
        <w:t>The Academy and the Possibility of Belief </w:t>
      </w:r>
      <w:r>
        <w:t xml:space="preserve">(2000) and its role in inquiry, </w:t>
      </w:r>
      <w:r w:rsidRPr="006D0EAF">
        <w:rPr>
          <w:i/>
          <w:iCs/>
        </w:rPr>
        <w:t>Rhetorical Invention and Religious Inquiry </w:t>
      </w:r>
      <w:r w:rsidRPr="006D0EAF">
        <w:t>(2001)</w:t>
      </w:r>
      <w:r>
        <w:t xml:space="preserve">. Recent collections have also investigated religion’s place in the writing class, </w:t>
      </w:r>
      <w:r w:rsidRPr="006D0EAF">
        <w:rPr>
          <w:i/>
          <w:iCs/>
        </w:rPr>
        <w:t>Negotiating Religious Faith in the Composition Classroom </w:t>
      </w:r>
      <w:r w:rsidRPr="006D0EAF">
        <w:t>(2005),</w:t>
      </w:r>
      <w:r>
        <w:t xml:space="preserve"> questioned the Christian tradition’s influence on rhetoric, </w:t>
      </w:r>
      <w:r w:rsidRPr="006D0EAF">
        <w:rPr>
          <w:i/>
          <w:iCs/>
        </w:rPr>
        <w:t>Renovating Rhetoric in Christian Tradition </w:t>
      </w:r>
      <w:r w:rsidRPr="006D0EAF">
        <w:t>(2014)</w:t>
      </w:r>
      <w:r>
        <w:t xml:space="preserve">, and set out to map the terrain of Christian rhetoric, </w:t>
      </w:r>
      <w:r w:rsidRPr="006D0EAF">
        <w:rPr>
          <w:i/>
          <w:iCs/>
        </w:rPr>
        <w:t xml:space="preserve">Mapping Christian </w:t>
      </w:r>
      <w:proofErr w:type="spellStart"/>
      <w:r w:rsidRPr="006D0EAF">
        <w:rPr>
          <w:i/>
          <w:iCs/>
        </w:rPr>
        <w:t>Rhetorics</w:t>
      </w:r>
      <w:proofErr w:type="spellEnd"/>
      <w:r w:rsidRPr="006D0EAF">
        <w:rPr>
          <w:i/>
          <w:iCs/>
        </w:rPr>
        <w:t> </w:t>
      </w:r>
      <w:r w:rsidRPr="006D0EAF">
        <w:t>(2015)</w:t>
      </w:r>
      <w:r>
        <w:t xml:space="preserve">. Scholars have painted a complicated picture of the relationship between faith and </w:t>
      </w:r>
      <w:r w:rsidR="00FB1C54">
        <w:t xml:space="preserve">rhetoric. While scholars have provided new ways to integrate </w:t>
      </w:r>
      <w:r>
        <w:t xml:space="preserve">religion </w:t>
      </w:r>
      <w:r w:rsidR="00FB1C54">
        <w:t>in</w:t>
      </w:r>
      <w:r>
        <w:t>to the teaching of writing</w:t>
      </w:r>
      <w:r w:rsidR="00806DED">
        <w:t xml:space="preserve"> (</w:t>
      </w:r>
      <w:proofErr w:type="spellStart"/>
      <w:r w:rsidR="0083500C">
        <w:t>DePalma</w:t>
      </w:r>
      <w:proofErr w:type="spellEnd"/>
      <w:r w:rsidR="0083500C">
        <w:t>, Kirsch, Perkins</w:t>
      </w:r>
      <w:r w:rsidR="00AC6A18">
        <w:t>)</w:t>
      </w:r>
      <w:r w:rsidR="00FB1C54">
        <w:t xml:space="preserve">, Jeffrey Ringer’s </w:t>
      </w:r>
      <w:r w:rsidR="006B21CE" w:rsidRPr="006B21CE">
        <w:rPr>
          <w:i/>
        </w:rPr>
        <w:t>Vernacular Christian Rhetoric and Civic Discourse</w:t>
      </w:r>
      <w:r w:rsidR="00FB1C54">
        <w:rPr>
          <w:i/>
        </w:rPr>
        <w:t xml:space="preserve"> </w:t>
      </w:r>
      <w:r w:rsidR="004D237C">
        <w:t xml:space="preserve">complicates any easy relationship between religion and civic engagement. </w:t>
      </w:r>
      <w:r w:rsidR="00E03FB7">
        <w:t>And</w:t>
      </w:r>
      <w:r w:rsidR="00803314">
        <w:t>, Thoms</w:t>
      </w:r>
      <w:r w:rsidR="00E03FB7">
        <w:t>on-Bunn’s recent research suggests that negative views towards religion still persist in the ac</w:t>
      </w:r>
      <w:r w:rsidR="00AC6A18">
        <w:t>ademy</w:t>
      </w:r>
      <w:r w:rsidR="00803314">
        <w:t xml:space="preserve"> despite advances in the study of religion</w:t>
      </w:r>
      <w:r w:rsidR="00AC6A18">
        <w:t>.</w:t>
      </w:r>
      <w:r w:rsidR="00D96F4F">
        <w:t xml:space="preserve"> However, T</w:t>
      </w:r>
      <w:r w:rsidR="00EF142C">
        <w:t>.</w:t>
      </w:r>
      <w:r w:rsidR="00D96F4F">
        <w:t>J</w:t>
      </w:r>
      <w:r w:rsidR="00EF142C">
        <w:t>.</w:t>
      </w:r>
      <w:r w:rsidR="00D96F4F">
        <w:t xml:space="preserve"> Geiger’s work suggests that inquiry into the spiritual is an essential part of academic rigor and provides an opportunity for students and researchers to reflect and invest personally in their work</w:t>
      </w:r>
    </w:p>
    <w:p w14:paraId="6EAFF881" w14:textId="52EE58B9" w:rsidR="00CF0879" w:rsidRDefault="00CF0879">
      <w:pPr>
        <w:pStyle w:val="EndnoteText"/>
      </w:pPr>
    </w:p>
  </w:endnote>
  <w:endnote w:id="4">
    <w:p w14:paraId="5CDC2622" w14:textId="65494E50" w:rsidR="00CF0879" w:rsidRPr="00A23DC3" w:rsidRDefault="00CF0879" w:rsidP="00A23DC3">
      <w:pPr>
        <w:pStyle w:val="EndnoteText"/>
        <w:ind w:firstLine="720"/>
      </w:pPr>
      <w:r>
        <w:rPr>
          <w:rStyle w:val="EndnoteReference"/>
        </w:rPr>
        <w:endnoteRef/>
      </w:r>
      <w:r>
        <w:t xml:space="preserve"> A notable exception is </w:t>
      </w:r>
      <w:r w:rsidRPr="00A23DC3">
        <w:rPr>
          <w:iCs/>
        </w:rPr>
        <w:t>Steven B. Katz’s chapter in</w:t>
      </w:r>
      <w:r>
        <w:rPr>
          <w:i/>
          <w:iCs/>
        </w:rPr>
        <w:t xml:space="preserve"> Ancient Non-Greek </w:t>
      </w:r>
      <w:proofErr w:type="spellStart"/>
      <w:r>
        <w:rPr>
          <w:i/>
          <w:iCs/>
        </w:rPr>
        <w:t>Rhetorics</w:t>
      </w:r>
      <w:proofErr w:type="spellEnd"/>
      <w:r>
        <w:rPr>
          <w:i/>
          <w:iCs/>
        </w:rPr>
        <w:t>,</w:t>
      </w:r>
      <w:r w:rsidRPr="00A23DC3">
        <w:t xml:space="preserve"> </w:t>
      </w:r>
      <w:r>
        <w:t>which re-defines rhetoric through a careful reading of the Hebrew language and scriptures.</w:t>
      </w:r>
    </w:p>
    <w:p w14:paraId="15E814BE" w14:textId="0126F66F" w:rsidR="00CF0879" w:rsidRDefault="00CF0879">
      <w:pPr>
        <w:pStyle w:val="EndnoteText"/>
      </w:pPr>
    </w:p>
  </w:endnote>
  <w:endnote w:id="5">
    <w:p w14:paraId="68C9D62B" w14:textId="053730E5" w:rsidR="004E236A" w:rsidRDefault="00E7065A" w:rsidP="00E7065A">
      <w:pPr>
        <w:pStyle w:val="EndnoteText"/>
        <w:ind w:firstLine="720"/>
      </w:pPr>
      <w:r>
        <w:rPr>
          <w:rStyle w:val="EndnoteReference"/>
        </w:rPr>
        <w:endnoteRef/>
      </w:r>
      <w:r>
        <w:t xml:space="preserve"> Methodology has arguably formed the central concern of comparative rhetoric, see Mao, Wang, and Garrett for classic examples. Scholarship on religion and rhetoric has focused more on pedagogical methodologies. </w:t>
      </w:r>
      <w:proofErr w:type="spellStart"/>
      <w:r>
        <w:t>Biz</w:t>
      </w:r>
      <w:r w:rsidR="004A3BCC">
        <w:t>zell</w:t>
      </w:r>
      <w:proofErr w:type="spellEnd"/>
      <w:r w:rsidR="004A3BCC">
        <w:t xml:space="preserve"> pointed out as early as 200</w:t>
      </w:r>
      <w:r>
        <w:t xml:space="preserve">8 that scholars needed to examine their own religious standpoint within their research on religion. Answering this call, </w:t>
      </w:r>
      <w:r w:rsidR="004E236A">
        <w:t xml:space="preserve">Catherine Pavia and others featured in </w:t>
      </w:r>
      <w:r>
        <w:t xml:space="preserve">the </w:t>
      </w:r>
      <w:r w:rsidR="004E236A">
        <w:t>2015</w:t>
      </w:r>
      <w:r>
        <w:t xml:space="preserve"> double issue of </w:t>
      </w:r>
      <w:r>
        <w:rPr>
          <w:i/>
        </w:rPr>
        <w:t>Written Commun</w:t>
      </w:r>
      <w:r w:rsidR="004E236A">
        <w:rPr>
          <w:i/>
        </w:rPr>
        <w:t>i</w:t>
      </w:r>
      <w:r>
        <w:rPr>
          <w:i/>
        </w:rPr>
        <w:t xml:space="preserve">cation </w:t>
      </w:r>
      <w:r w:rsidR="004E236A">
        <w:t>focus</w:t>
      </w:r>
      <w:r>
        <w:t xml:space="preserve"> exclusively on </w:t>
      </w:r>
      <w:r w:rsidR="004E236A">
        <w:t xml:space="preserve">establishing and examining </w:t>
      </w:r>
      <w:r>
        <w:t xml:space="preserve">methodologies for writing research about religion. </w:t>
      </w:r>
    </w:p>
    <w:p w14:paraId="04B94B6D" w14:textId="222A130E" w:rsidR="00E7065A" w:rsidRDefault="00E7065A" w:rsidP="00E7065A">
      <w:pPr>
        <w:pStyle w:val="EndnoteText"/>
        <w:ind w:firstLine="720"/>
      </w:pPr>
      <w:r>
        <w:t xml:space="preserve">  </w:t>
      </w:r>
    </w:p>
  </w:endnote>
  <w:endnote w:id="6">
    <w:p w14:paraId="428DFA15" w14:textId="5A5CB974" w:rsidR="001F6EE8" w:rsidRDefault="001F6EE8" w:rsidP="001B3258">
      <w:pPr>
        <w:pStyle w:val="EndnoteText"/>
        <w:ind w:firstLine="720"/>
      </w:pPr>
      <w:r>
        <w:rPr>
          <w:rStyle w:val="EndnoteReference"/>
        </w:rPr>
        <w:endnoteRef/>
      </w:r>
      <w:r>
        <w:t xml:space="preserve"> </w:t>
      </w:r>
      <w:proofErr w:type="spellStart"/>
      <w:r w:rsidR="001B3258">
        <w:t>Saulière’s</w:t>
      </w:r>
      <w:proofErr w:type="spellEnd"/>
      <w:r w:rsidR="001B3258">
        <w:t xml:space="preserve"> </w:t>
      </w:r>
      <w:r w:rsidR="001B3258">
        <w:rPr>
          <w:i/>
        </w:rPr>
        <w:t>His Star to the East</w:t>
      </w:r>
      <w:r w:rsidR="001B3258">
        <w:t xml:space="preserve"> is the most detailed biography of his life, mainly composed of direct quotations from his letters and missionary reports and thorough in accounting for the gaps in the archival record. Vincent Cronin’s biography </w:t>
      </w:r>
      <w:r w:rsidR="001B3258">
        <w:rPr>
          <w:i/>
        </w:rPr>
        <w:t>A Pearl to India</w:t>
      </w:r>
      <w:r w:rsidR="001B3258">
        <w:t xml:space="preserve"> summarizes this earlier text, even though it is more widely available today. Although shorter, </w:t>
      </w:r>
      <w:proofErr w:type="spellStart"/>
      <w:r w:rsidR="001B3258" w:rsidRPr="00BC0DA9">
        <w:t>Svarimuthu</w:t>
      </w:r>
      <w:proofErr w:type="spellEnd"/>
      <w:r w:rsidR="001B3258">
        <w:t xml:space="preserve"> </w:t>
      </w:r>
      <w:proofErr w:type="spellStart"/>
      <w:r w:rsidR="001B3258">
        <w:t>Rajamanickam’s</w:t>
      </w:r>
      <w:proofErr w:type="spellEnd"/>
      <w:r w:rsidR="001B3258">
        <w:t xml:space="preserve"> published dissertation, </w:t>
      </w:r>
      <w:r w:rsidR="001B3258">
        <w:rPr>
          <w:i/>
        </w:rPr>
        <w:t>The First Oriental Scholar</w:t>
      </w:r>
      <w:r w:rsidR="001B3258">
        <w:t xml:space="preserve">, also provides an in-depth account of de Nobili’s life based in archival research and includes some of de Nobili’s original writings with translations. Ines </w:t>
      </w:r>
      <w:proofErr w:type="spellStart"/>
      <w:r w:rsidR="001B3258">
        <w:t>Županov’s</w:t>
      </w:r>
      <w:proofErr w:type="spellEnd"/>
      <w:r w:rsidR="001B3258">
        <w:t xml:space="preserve"> </w:t>
      </w:r>
      <w:r w:rsidR="001B3258">
        <w:rPr>
          <w:i/>
        </w:rPr>
        <w:t xml:space="preserve">Disputed Mission </w:t>
      </w:r>
      <w:r w:rsidR="001B3258">
        <w:t xml:space="preserve">provides the most recent account of de Nobili’s life, focused on interpreting his letters with and against the politics of the Jesuit mission and the demands of early modern epistemology. </w:t>
      </w:r>
      <w:proofErr w:type="spellStart"/>
      <w:r w:rsidR="001B3258">
        <w:t>Županov</w:t>
      </w:r>
      <w:proofErr w:type="spellEnd"/>
      <w:r w:rsidR="001B3258">
        <w:t xml:space="preserve"> distinguishes her work as the first to provide a non-apologetic account of de Nobili.  </w:t>
      </w:r>
    </w:p>
    <w:p w14:paraId="14B4AF0F" w14:textId="77777777" w:rsidR="001B3258" w:rsidRPr="001B3258" w:rsidRDefault="001B3258" w:rsidP="001B3258">
      <w:pPr>
        <w:pStyle w:val="EndnoteText"/>
        <w:ind w:firstLine="720"/>
      </w:pPr>
    </w:p>
  </w:endnote>
  <w:endnote w:id="7">
    <w:p w14:paraId="5FEA5855" w14:textId="77777777" w:rsidR="00CF0879" w:rsidRDefault="00CF0879" w:rsidP="00727206">
      <w:pPr>
        <w:spacing w:after="0" w:line="240" w:lineRule="auto"/>
        <w:ind w:firstLine="720"/>
      </w:pPr>
      <w:r>
        <w:rPr>
          <w:vertAlign w:val="superscript"/>
        </w:rPr>
        <w:endnoteRef/>
      </w:r>
      <w:r>
        <w:t xml:space="preserve"> De Nobili’s explanation of knowledge depends on Aristotle’s theory of the soul and perception from </w:t>
      </w:r>
      <w:r>
        <w:rPr>
          <w:i/>
        </w:rPr>
        <w:t>De Anima</w:t>
      </w:r>
      <w:r>
        <w:t xml:space="preserve">. From this perspective, knowledge is based in direct perception, what can be “known” is only what can be perceived by the mind or drawn up mentally. Unlike knowledge, inference allows humans to go beyond direct perception by inferring from what is perceived either what resembles perception or does not resemble perception.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2AF9" w14:textId="77777777" w:rsidR="007F3837" w:rsidRDefault="007F3837">
      <w:pPr>
        <w:spacing w:after="0" w:line="240" w:lineRule="auto"/>
      </w:pPr>
      <w:r>
        <w:separator/>
      </w:r>
    </w:p>
  </w:footnote>
  <w:footnote w:type="continuationSeparator" w:id="0">
    <w:p w14:paraId="506F1516" w14:textId="77777777" w:rsidR="007F3837" w:rsidRDefault="007F38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4E90" w14:textId="77777777" w:rsidR="00CF0879" w:rsidRDefault="00CF0879">
    <w:pPr>
      <w:tabs>
        <w:tab w:val="center" w:pos="4680"/>
        <w:tab w:val="right" w:pos="9360"/>
      </w:tabs>
      <w:spacing w:before="720" w:after="0" w:line="240" w:lineRule="auto"/>
      <w:jc w:val="right"/>
    </w:pPr>
    <w:r>
      <w:fldChar w:fldCharType="begin"/>
    </w:r>
    <w:r>
      <w:instrText>PAGE</w:instrText>
    </w:r>
    <w:r>
      <w:fldChar w:fldCharType="end"/>
    </w:r>
  </w:p>
  <w:p w14:paraId="73D4D2FC" w14:textId="77777777" w:rsidR="00CF0879" w:rsidRDefault="00CF0879">
    <w:pPr>
      <w:tabs>
        <w:tab w:val="center" w:pos="4680"/>
        <w:tab w:val="right" w:pos="9360"/>
      </w:tabs>
      <w:spacing w:after="0" w:line="240" w:lineRule="aut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20CB" w14:textId="77777777" w:rsidR="00CF0879" w:rsidRDefault="00CF0879">
    <w:pPr>
      <w:tabs>
        <w:tab w:val="center" w:pos="4680"/>
        <w:tab w:val="right" w:pos="9360"/>
      </w:tabs>
      <w:spacing w:before="720" w:after="0" w:line="240" w:lineRule="auto"/>
      <w:jc w:val="right"/>
    </w:pPr>
    <w:proofErr w:type="spellStart"/>
    <w:r>
      <w:t>Kaczmarek</w:t>
    </w:r>
    <w:proofErr w:type="spellEnd"/>
    <w:r>
      <w:t xml:space="preserve"> </w:t>
    </w:r>
    <w:r>
      <w:fldChar w:fldCharType="begin"/>
    </w:r>
    <w:r>
      <w:instrText>PAGE</w:instrText>
    </w:r>
    <w:r>
      <w:fldChar w:fldCharType="separate"/>
    </w:r>
    <w:r w:rsidR="006937B4">
      <w:rPr>
        <w:noProof/>
      </w:rPr>
      <w:t>12</w:t>
    </w:r>
    <w:r>
      <w:fldChar w:fldCharType="end"/>
    </w:r>
  </w:p>
  <w:p w14:paraId="4E07DA45" w14:textId="77777777" w:rsidR="00CF0879" w:rsidRDefault="00CF0879">
    <w:pPr>
      <w:tabs>
        <w:tab w:val="center" w:pos="4680"/>
        <w:tab w:val="right" w:pos="9360"/>
      </w:tabs>
      <w:spacing w:after="0" w:line="240" w:lineRule="auto"/>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3D94"/>
    <w:multiLevelType w:val="multilevel"/>
    <w:tmpl w:val="1A3CB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0FD"/>
    <w:multiLevelType w:val="multilevel"/>
    <w:tmpl w:val="D610A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D54A5"/>
    <w:multiLevelType w:val="multilevel"/>
    <w:tmpl w:val="1EE6C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F5898"/>
    <w:multiLevelType w:val="multilevel"/>
    <w:tmpl w:val="2B5E0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B2264"/>
    <w:multiLevelType w:val="multilevel"/>
    <w:tmpl w:val="0D54C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F4479"/>
    <w:multiLevelType w:val="multilevel"/>
    <w:tmpl w:val="3320D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7F0962"/>
    <w:multiLevelType w:val="multilevel"/>
    <w:tmpl w:val="2CFC2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023E4"/>
    <w:multiLevelType w:val="multilevel"/>
    <w:tmpl w:val="4A3EA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7D3A81"/>
    <w:rsid w:val="0000056F"/>
    <w:rsid w:val="00006A80"/>
    <w:rsid w:val="0000711A"/>
    <w:rsid w:val="00012007"/>
    <w:rsid w:val="000223A9"/>
    <w:rsid w:val="0002698E"/>
    <w:rsid w:val="00031BC8"/>
    <w:rsid w:val="00040E14"/>
    <w:rsid w:val="000434D0"/>
    <w:rsid w:val="00043737"/>
    <w:rsid w:val="0004530B"/>
    <w:rsid w:val="0004601C"/>
    <w:rsid w:val="000471F8"/>
    <w:rsid w:val="000504C7"/>
    <w:rsid w:val="000601EF"/>
    <w:rsid w:val="00060A50"/>
    <w:rsid w:val="000612E9"/>
    <w:rsid w:val="00061D0C"/>
    <w:rsid w:val="00062980"/>
    <w:rsid w:val="00066AE0"/>
    <w:rsid w:val="00073082"/>
    <w:rsid w:val="00075FDF"/>
    <w:rsid w:val="00076AE7"/>
    <w:rsid w:val="00083F86"/>
    <w:rsid w:val="00092C27"/>
    <w:rsid w:val="00096FD7"/>
    <w:rsid w:val="000A21BA"/>
    <w:rsid w:val="000A27F4"/>
    <w:rsid w:val="000A47D0"/>
    <w:rsid w:val="000B08B7"/>
    <w:rsid w:val="000C1BCE"/>
    <w:rsid w:val="000E5B3E"/>
    <w:rsid w:val="000F7465"/>
    <w:rsid w:val="000F77C7"/>
    <w:rsid w:val="00106516"/>
    <w:rsid w:val="00120A1B"/>
    <w:rsid w:val="00120FBE"/>
    <w:rsid w:val="0013078C"/>
    <w:rsid w:val="00130820"/>
    <w:rsid w:val="00134C88"/>
    <w:rsid w:val="00146668"/>
    <w:rsid w:val="00156D0B"/>
    <w:rsid w:val="00157292"/>
    <w:rsid w:val="0016393B"/>
    <w:rsid w:val="00166636"/>
    <w:rsid w:val="00170CC7"/>
    <w:rsid w:val="00172632"/>
    <w:rsid w:val="0017315B"/>
    <w:rsid w:val="0017583E"/>
    <w:rsid w:val="0017610E"/>
    <w:rsid w:val="00177C37"/>
    <w:rsid w:val="00183C29"/>
    <w:rsid w:val="0019129E"/>
    <w:rsid w:val="00192311"/>
    <w:rsid w:val="001A115F"/>
    <w:rsid w:val="001A6D85"/>
    <w:rsid w:val="001B3258"/>
    <w:rsid w:val="001B3CDF"/>
    <w:rsid w:val="001B4C4E"/>
    <w:rsid w:val="001B7C0C"/>
    <w:rsid w:val="001C38F6"/>
    <w:rsid w:val="001C47D5"/>
    <w:rsid w:val="001C56E4"/>
    <w:rsid w:val="001D210B"/>
    <w:rsid w:val="001D6778"/>
    <w:rsid w:val="001E2DDB"/>
    <w:rsid w:val="001E38A4"/>
    <w:rsid w:val="001E70E2"/>
    <w:rsid w:val="001E7CAF"/>
    <w:rsid w:val="001F6A7A"/>
    <w:rsid w:val="001F6EE8"/>
    <w:rsid w:val="00200495"/>
    <w:rsid w:val="00201F2D"/>
    <w:rsid w:val="00202689"/>
    <w:rsid w:val="0021052B"/>
    <w:rsid w:val="00210D47"/>
    <w:rsid w:val="002116F2"/>
    <w:rsid w:val="002143AE"/>
    <w:rsid w:val="00221562"/>
    <w:rsid w:val="00234050"/>
    <w:rsid w:val="0023408D"/>
    <w:rsid w:val="002439EB"/>
    <w:rsid w:val="0025077C"/>
    <w:rsid w:val="002509FF"/>
    <w:rsid w:val="00251530"/>
    <w:rsid w:val="00251C26"/>
    <w:rsid w:val="00256D65"/>
    <w:rsid w:val="00260FC0"/>
    <w:rsid w:val="00263DBA"/>
    <w:rsid w:val="002717B5"/>
    <w:rsid w:val="00275BD5"/>
    <w:rsid w:val="00276067"/>
    <w:rsid w:val="00280D40"/>
    <w:rsid w:val="00282350"/>
    <w:rsid w:val="00282769"/>
    <w:rsid w:val="0028310B"/>
    <w:rsid w:val="002836B4"/>
    <w:rsid w:val="00283FC4"/>
    <w:rsid w:val="002867AC"/>
    <w:rsid w:val="00294449"/>
    <w:rsid w:val="002A0371"/>
    <w:rsid w:val="002A34F2"/>
    <w:rsid w:val="002A5E8C"/>
    <w:rsid w:val="002C65AC"/>
    <w:rsid w:val="002D06F5"/>
    <w:rsid w:val="002D4444"/>
    <w:rsid w:val="002D55DC"/>
    <w:rsid w:val="002E05EE"/>
    <w:rsid w:val="002E5F56"/>
    <w:rsid w:val="002F3531"/>
    <w:rsid w:val="002F5739"/>
    <w:rsid w:val="002F7E51"/>
    <w:rsid w:val="00301CA2"/>
    <w:rsid w:val="003024AA"/>
    <w:rsid w:val="0030737C"/>
    <w:rsid w:val="00307F70"/>
    <w:rsid w:val="00310048"/>
    <w:rsid w:val="00316072"/>
    <w:rsid w:val="00316506"/>
    <w:rsid w:val="00317598"/>
    <w:rsid w:val="00322F14"/>
    <w:rsid w:val="00333286"/>
    <w:rsid w:val="00336DF8"/>
    <w:rsid w:val="003512A0"/>
    <w:rsid w:val="003525F1"/>
    <w:rsid w:val="00352B1E"/>
    <w:rsid w:val="00371851"/>
    <w:rsid w:val="0037616F"/>
    <w:rsid w:val="00377062"/>
    <w:rsid w:val="00392C4A"/>
    <w:rsid w:val="00393481"/>
    <w:rsid w:val="0039726C"/>
    <w:rsid w:val="00397733"/>
    <w:rsid w:val="00397C6C"/>
    <w:rsid w:val="003A0063"/>
    <w:rsid w:val="003A21BC"/>
    <w:rsid w:val="003B305E"/>
    <w:rsid w:val="003B31C2"/>
    <w:rsid w:val="003C00DC"/>
    <w:rsid w:val="003C2554"/>
    <w:rsid w:val="003C2610"/>
    <w:rsid w:val="003D120D"/>
    <w:rsid w:val="003D1D5E"/>
    <w:rsid w:val="003D25B9"/>
    <w:rsid w:val="003E17CE"/>
    <w:rsid w:val="003E1F81"/>
    <w:rsid w:val="003E2C70"/>
    <w:rsid w:val="003E43DC"/>
    <w:rsid w:val="003E6FAC"/>
    <w:rsid w:val="003E7B65"/>
    <w:rsid w:val="003F01B6"/>
    <w:rsid w:val="003F2CCE"/>
    <w:rsid w:val="003F6BE2"/>
    <w:rsid w:val="004066EE"/>
    <w:rsid w:val="00407A72"/>
    <w:rsid w:val="00414117"/>
    <w:rsid w:val="004147A1"/>
    <w:rsid w:val="0041723B"/>
    <w:rsid w:val="00421BFD"/>
    <w:rsid w:val="004221D3"/>
    <w:rsid w:val="00431932"/>
    <w:rsid w:val="00440792"/>
    <w:rsid w:val="00446FED"/>
    <w:rsid w:val="004522B1"/>
    <w:rsid w:val="00461089"/>
    <w:rsid w:val="00462756"/>
    <w:rsid w:val="00472F3A"/>
    <w:rsid w:val="004748BF"/>
    <w:rsid w:val="0047672B"/>
    <w:rsid w:val="00477736"/>
    <w:rsid w:val="004843D4"/>
    <w:rsid w:val="004927A9"/>
    <w:rsid w:val="00492B61"/>
    <w:rsid w:val="00493620"/>
    <w:rsid w:val="004A30AD"/>
    <w:rsid w:val="004A3BCC"/>
    <w:rsid w:val="004A48BC"/>
    <w:rsid w:val="004C08BE"/>
    <w:rsid w:val="004C24CE"/>
    <w:rsid w:val="004C4A87"/>
    <w:rsid w:val="004D237C"/>
    <w:rsid w:val="004D41D0"/>
    <w:rsid w:val="004E236A"/>
    <w:rsid w:val="004E5AF3"/>
    <w:rsid w:val="004F1B88"/>
    <w:rsid w:val="004F1EB8"/>
    <w:rsid w:val="005116B0"/>
    <w:rsid w:val="00522DBC"/>
    <w:rsid w:val="005231DA"/>
    <w:rsid w:val="005275D5"/>
    <w:rsid w:val="0054145D"/>
    <w:rsid w:val="00546A0B"/>
    <w:rsid w:val="0055087C"/>
    <w:rsid w:val="005544D3"/>
    <w:rsid w:val="00556ADA"/>
    <w:rsid w:val="005574CA"/>
    <w:rsid w:val="00560DE4"/>
    <w:rsid w:val="00562AEB"/>
    <w:rsid w:val="005650A6"/>
    <w:rsid w:val="0058082E"/>
    <w:rsid w:val="00583B03"/>
    <w:rsid w:val="005841D7"/>
    <w:rsid w:val="00585453"/>
    <w:rsid w:val="00590301"/>
    <w:rsid w:val="0059265C"/>
    <w:rsid w:val="00593F15"/>
    <w:rsid w:val="00594B3A"/>
    <w:rsid w:val="005A3401"/>
    <w:rsid w:val="005A5223"/>
    <w:rsid w:val="005A525D"/>
    <w:rsid w:val="005A64EF"/>
    <w:rsid w:val="005A6724"/>
    <w:rsid w:val="005A7618"/>
    <w:rsid w:val="005B0256"/>
    <w:rsid w:val="005B1540"/>
    <w:rsid w:val="005B2A61"/>
    <w:rsid w:val="005B43EE"/>
    <w:rsid w:val="005B4BD5"/>
    <w:rsid w:val="005C04BA"/>
    <w:rsid w:val="005C2354"/>
    <w:rsid w:val="005D1CCB"/>
    <w:rsid w:val="005E19F2"/>
    <w:rsid w:val="005E50CB"/>
    <w:rsid w:val="005E7645"/>
    <w:rsid w:val="005E7673"/>
    <w:rsid w:val="005F303A"/>
    <w:rsid w:val="005F7123"/>
    <w:rsid w:val="00601ECE"/>
    <w:rsid w:val="00614683"/>
    <w:rsid w:val="00623C7A"/>
    <w:rsid w:val="006248A6"/>
    <w:rsid w:val="00624E29"/>
    <w:rsid w:val="0063106D"/>
    <w:rsid w:val="00637135"/>
    <w:rsid w:val="006403CF"/>
    <w:rsid w:val="00640498"/>
    <w:rsid w:val="00643044"/>
    <w:rsid w:val="00650126"/>
    <w:rsid w:val="00650B91"/>
    <w:rsid w:val="00650DB7"/>
    <w:rsid w:val="00655A9B"/>
    <w:rsid w:val="00663630"/>
    <w:rsid w:val="00667AB7"/>
    <w:rsid w:val="00672441"/>
    <w:rsid w:val="00672E66"/>
    <w:rsid w:val="00681AA7"/>
    <w:rsid w:val="006847DE"/>
    <w:rsid w:val="00685745"/>
    <w:rsid w:val="00686F06"/>
    <w:rsid w:val="00690193"/>
    <w:rsid w:val="0069166D"/>
    <w:rsid w:val="006937B4"/>
    <w:rsid w:val="00693C5B"/>
    <w:rsid w:val="00697C12"/>
    <w:rsid w:val="006A3B44"/>
    <w:rsid w:val="006A540E"/>
    <w:rsid w:val="006B21CE"/>
    <w:rsid w:val="006B2961"/>
    <w:rsid w:val="006D0EAF"/>
    <w:rsid w:val="006D10D7"/>
    <w:rsid w:val="006D70F7"/>
    <w:rsid w:val="006D7CAF"/>
    <w:rsid w:val="006E2108"/>
    <w:rsid w:val="006E450A"/>
    <w:rsid w:val="006E5E21"/>
    <w:rsid w:val="006F3FFB"/>
    <w:rsid w:val="006F7A0B"/>
    <w:rsid w:val="0071403C"/>
    <w:rsid w:val="0071445A"/>
    <w:rsid w:val="00716C0E"/>
    <w:rsid w:val="007214E6"/>
    <w:rsid w:val="00726A3D"/>
    <w:rsid w:val="00727206"/>
    <w:rsid w:val="00733FCC"/>
    <w:rsid w:val="0073482B"/>
    <w:rsid w:val="0073698D"/>
    <w:rsid w:val="00740EA7"/>
    <w:rsid w:val="0074313C"/>
    <w:rsid w:val="00751C18"/>
    <w:rsid w:val="0076063D"/>
    <w:rsid w:val="007639A5"/>
    <w:rsid w:val="00766B07"/>
    <w:rsid w:val="0076770E"/>
    <w:rsid w:val="0076788A"/>
    <w:rsid w:val="0077486F"/>
    <w:rsid w:val="00774A53"/>
    <w:rsid w:val="007757ED"/>
    <w:rsid w:val="00782091"/>
    <w:rsid w:val="007832B8"/>
    <w:rsid w:val="007904AD"/>
    <w:rsid w:val="0079183A"/>
    <w:rsid w:val="007B0A6B"/>
    <w:rsid w:val="007B405C"/>
    <w:rsid w:val="007B4A57"/>
    <w:rsid w:val="007B7C76"/>
    <w:rsid w:val="007C1391"/>
    <w:rsid w:val="007C34EA"/>
    <w:rsid w:val="007C41A7"/>
    <w:rsid w:val="007C4762"/>
    <w:rsid w:val="007D3A81"/>
    <w:rsid w:val="007D4BA1"/>
    <w:rsid w:val="007D5B98"/>
    <w:rsid w:val="007F0BC7"/>
    <w:rsid w:val="007F3837"/>
    <w:rsid w:val="007F57BC"/>
    <w:rsid w:val="007F77F4"/>
    <w:rsid w:val="00800531"/>
    <w:rsid w:val="00803314"/>
    <w:rsid w:val="00805826"/>
    <w:rsid w:val="00806DED"/>
    <w:rsid w:val="00811DA0"/>
    <w:rsid w:val="00814A51"/>
    <w:rsid w:val="00814E51"/>
    <w:rsid w:val="00817FF5"/>
    <w:rsid w:val="008201DF"/>
    <w:rsid w:val="008209AA"/>
    <w:rsid w:val="00821BA8"/>
    <w:rsid w:val="00824525"/>
    <w:rsid w:val="00824798"/>
    <w:rsid w:val="00824D12"/>
    <w:rsid w:val="008250A1"/>
    <w:rsid w:val="008255E1"/>
    <w:rsid w:val="0082701B"/>
    <w:rsid w:val="00830EDB"/>
    <w:rsid w:val="0083500C"/>
    <w:rsid w:val="00844D59"/>
    <w:rsid w:val="00845DF4"/>
    <w:rsid w:val="0085194F"/>
    <w:rsid w:val="008605D0"/>
    <w:rsid w:val="00861D82"/>
    <w:rsid w:val="00870967"/>
    <w:rsid w:val="00870E9B"/>
    <w:rsid w:val="00872EC4"/>
    <w:rsid w:val="008762E1"/>
    <w:rsid w:val="0087663E"/>
    <w:rsid w:val="00880EF4"/>
    <w:rsid w:val="008833E3"/>
    <w:rsid w:val="00884671"/>
    <w:rsid w:val="00885924"/>
    <w:rsid w:val="0088687F"/>
    <w:rsid w:val="00894D15"/>
    <w:rsid w:val="008A05B3"/>
    <w:rsid w:val="008A1474"/>
    <w:rsid w:val="008A3F5D"/>
    <w:rsid w:val="008B0E19"/>
    <w:rsid w:val="008B28C7"/>
    <w:rsid w:val="008B5B26"/>
    <w:rsid w:val="008B7D65"/>
    <w:rsid w:val="008C3612"/>
    <w:rsid w:val="008C5B65"/>
    <w:rsid w:val="008D0353"/>
    <w:rsid w:val="008D04C2"/>
    <w:rsid w:val="008D0BDD"/>
    <w:rsid w:val="008D32A1"/>
    <w:rsid w:val="008E20F6"/>
    <w:rsid w:val="008E6A32"/>
    <w:rsid w:val="008E7699"/>
    <w:rsid w:val="008E7FDE"/>
    <w:rsid w:val="008F3899"/>
    <w:rsid w:val="009001AA"/>
    <w:rsid w:val="009022B1"/>
    <w:rsid w:val="00904611"/>
    <w:rsid w:val="00904ABC"/>
    <w:rsid w:val="00917190"/>
    <w:rsid w:val="009215B3"/>
    <w:rsid w:val="00933414"/>
    <w:rsid w:val="00937098"/>
    <w:rsid w:val="00941DE5"/>
    <w:rsid w:val="00945FE1"/>
    <w:rsid w:val="009505FA"/>
    <w:rsid w:val="00963F5B"/>
    <w:rsid w:val="00970677"/>
    <w:rsid w:val="009722C6"/>
    <w:rsid w:val="0097302F"/>
    <w:rsid w:val="00975B9C"/>
    <w:rsid w:val="0098394C"/>
    <w:rsid w:val="00984A8F"/>
    <w:rsid w:val="009859C8"/>
    <w:rsid w:val="009872E2"/>
    <w:rsid w:val="00987F0A"/>
    <w:rsid w:val="00991A0C"/>
    <w:rsid w:val="00991F20"/>
    <w:rsid w:val="009A0007"/>
    <w:rsid w:val="009A142A"/>
    <w:rsid w:val="009A738A"/>
    <w:rsid w:val="009B1B2E"/>
    <w:rsid w:val="009B49B0"/>
    <w:rsid w:val="009B597A"/>
    <w:rsid w:val="009C19E5"/>
    <w:rsid w:val="009C4007"/>
    <w:rsid w:val="009C79DE"/>
    <w:rsid w:val="009C7B75"/>
    <w:rsid w:val="009D24EC"/>
    <w:rsid w:val="009D2AC0"/>
    <w:rsid w:val="009D79EC"/>
    <w:rsid w:val="009E4C16"/>
    <w:rsid w:val="009E635C"/>
    <w:rsid w:val="009E6C6F"/>
    <w:rsid w:val="00A00C64"/>
    <w:rsid w:val="00A013D5"/>
    <w:rsid w:val="00A01E45"/>
    <w:rsid w:val="00A07D38"/>
    <w:rsid w:val="00A119BF"/>
    <w:rsid w:val="00A12059"/>
    <w:rsid w:val="00A143E0"/>
    <w:rsid w:val="00A23DC3"/>
    <w:rsid w:val="00A27B33"/>
    <w:rsid w:val="00A33A86"/>
    <w:rsid w:val="00A33CAA"/>
    <w:rsid w:val="00A35F89"/>
    <w:rsid w:val="00A460F6"/>
    <w:rsid w:val="00A476F2"/>
    <w:rsid w:val="00A54FBB"/>
    <w:rsid w:val="00A62531"/>
    <w:rsid w:val="00A66929"/>
    <w:rsid w:val="00A72DD1"/>
    <w:rsid w:val="00A7432D"/>
    <w:rsid w:val="00A7432E"/>
    <w:rsid w:val="00A83187"/>
    <w:rsid w:val="00A84280"/>
    <w:rsid w:val="00A9331D"/>
    <w:rsid w:val="00A95FE8"/>
    <w:rsid w:val="00A97BB5"/>
    <w:rsid w:val="00AA1E9A"/>
    <w:rsid w:val="00AA3DCF"/>
    <w:rsid w:val="00AB601D"/>
    <w:rsid w:val="00AB79CC"/>
    <w:rsid w:val="00AC04F8"/>
    <w:rsid w:val="00AC1A70"/>
    <w:rsid w:val="00AC2D01"/>
    <w:rsid w:val="00AC5B76"/>
    <w:rsid w:val="00AC6A18"/>
    <w:rsid w:val="00AD098B"/>
    <w:rsid w:val="00AD21C2"/>
    <w:rsid w:val="00AE26F1"/>
    <w:rsid w:val="00AE393D"/>
    <w:rsid w:val="00AE4CA5"/>
    <w:rsid w:val="00AF4239"/>
    <w:rsid w:val="00AF628F"/>
    <w:rsid w:val="00AF6BCF"/>
    <w:rsid w:val="00B0120E"/>
    <w:rsid w:val="00B06D6C"/>
    <w:rsid w:val="00B07CAC"/>
    <w:rsid w:val="00B241A9"/>
    <w:rsid w:val="00B2584D"/>
    <w:rsid w:val="00B3020A"/>
    <w:rsid w:val="00B359EE"/>
    <w:rsid w:val="00B374D8"/>
    <w:rsid w:val="00B43BA8"/>
    <w:rsid w:val="00B519A2"/>
    <w:rsid w:val="00B53431"/>
    <w:rsid w:val="00B57EAC"/>
    <w:rsid w:val="00B60301"/>
    <w:rsid w:val="00B6088B"/>
    <w:rsid w:val="00B6468B"/>
    <w:rsid w:val="00B72520"/>
    <w:rsid w:val="00B72BCE"/>
    <w:rsid w:val="00B72CA2"/>
    <w:rsid w:val="00B74A0D"/>
    <w:rsid w:val="00B81E44"/>
    <w:rsid w:val="00B81FA7"/>
    <w:rsid w:val="00BA51AC"/>
    <w:rsid w:val="00BA5756"/>
    <w:rsid w:val="00BA64A0"/>
    <w:rsid w:val="00BA6B62"/>
    <w:rsid w:val="00BB2A83"/>
    <w:rsid w:val="00BB4752"/>
    <w:rsid w:val="00BB4BC3"/>
    <w:rsid w:val="00BC0DA9"/>
    <w:rsid w:val="00BC300B"/>
    <w:rsid w:val="00BC491E"/>
    <w:rsid w:val="00BC6811"/>
    <w:rsid w:val="00BD09A0"/>
    <w:rsid w:val="00BE35D7"/>
    <w:rsid w:val="00BE38E3"/>
    <w:rsid w:val="00BE43C0"/>
    <w:rsid w:val="00BF2A9E"/>
    <w:rsid w:val="00BF323C"/>
    <w:rsid w:val="00C01D4A"/>
    <w:rsid w:val="00C06221"/>
    <w:rsid w:val="00C12D92"/>
    <w:rsid w:val="00C13287"/>
    <w:rsid w:val="00C13F83"/>
    <w:rsid w:val="00C14E33"/>
    <w:rsid w:val="00C15087"/>
    <w:rsid w:val="00C22016"/>
    <w:rsid w:val="00C23146"/>
    <w:rsid w:val="00C33494"/>
    <w:rsid w:val="00C33F6B"/>
    <w:rsid w:val="00C3716F"/>
    <w:rsid w:val="00C40261"/>
    <w:rsid w:val="00C451D4"/>
    <w:rsid w:val="00C50EC8"/>
    <w:rsid w:val="00C62FA2"/>
    <w:rsid w:val="00C731C2"/>
    <w:rsid w:val="00C7749C"/>
    <w:rsid w:val="00C95C82"/>
    <w:rsid w:val="00CB0A61"/>
    <w:rsid w:val="00CC0AD0"/>
    <w:rsid w:val="00CC3E72"/>
    <w:rsid w:val="00CC5E75"/>
    <w:rsid w:val="00CD1C6D"/>
    <w:rsid w:val="00CD7D6A"/>
    <w:rsid w:val="00CE1C0A"/>
    <w:rsid w:val="00CF0879"/>
    <w:rsid w:val="00D032B2"/>
    <w:rsid w:val="00D05BF6"/>
    <w:rsid w:val="00D14827"/>
    <w:rsid w:val="00D15F33"/>
    <w:rsid w:val="00D23AC2"/>
    <w:rsid w:val="00D32908"/>
    <w:rsid w:val="00D357CD"/>
    <w:rsid w:val="00D37F79"/>
    <w:rsid w:val="00D40AE2"/>
    <w:rsid w:val="00D40E48"/>
    <w:rsid w:val="00D43540"/>
    <w:rsid w:val="00D43896"/>
    <w:rsid w:val="00D458DB"/>
    <w:rsid w:val="00D50B40"/>
    <w:rsid w:val="00D51EF1"/>
    <w:rsid w:val="00D539E0"/>
    <w:rsid w:val="00D544B5"/>
    <w:rsid w:val="00D5553D"/>
    <w:rsid w:val="00D57AE8"/>
    <w:rsid w:val="00D57FD3"/>
    <w:rsid w:val="00D61D43"/>
    <w:rsid w:val="00D64072"/>
    <w:rsid w:val="00D65610"/>
    <w:rsid w:val="00D75650"/>
    <w:rsid w:val="00D83517"/>
    <w:rsid w:val="00D8410C"/>
    <w:rsid w:val="00D865A8"/>
    <w:rsid w:val="00D86F9D"/>
    <w:rsid w:val="00D920BC"/>
    <w:rsid w:val="00D921B9"/>
    <w:rsid w:val="00D92F7E"/>
    <w:rsid w:val="00D939E5"/>
    <w:rsid w:val="00D940C8"/>
    <w:rsid w:val="00D96DA4"/>
    <w:rsid w:val="00D96F4F"/>
    <w:rsid w:val="00D971FF"/>
    <w:rsid w:val="00DA655C"/>
    <w:rsid w:val="00DA69F7"/>
    <w:rsid w:val="00DB63BD"/>
    <w:rsid w:val="00DC2752"/>
    <w:rsid w:val="00DC75D9"/>
    <w:rsid w:val="00DD0BB6"/>
    <w:rsid w:val="00DD181A"/>
    <w:rsid w:val="00DD376D"/>
    <w:rsid w:val="00DD5763"/>
    <w:rsid w:val="00DD60C2"/>
    <w:rsid w:val="00DD6487"/>
    <w:rsid w:val="00DE383A"/>
    <w:rsid w:val="00DE4387"/>
    <w:rsid w:val="00DF3839"/>
    <w:rsid w:val="00DF757C"/>
    <w:rsid w:val="00E03311"/>
    <w:rsid w:val="00E035DA"/>
    <w:rsid w:val="00E03FB7"/>
    <w:rsid w:val="00E07C93"/>
    <w:rsid w:val="00E10D42"/>
    <w:rsid w:val="00E10EF3"/>
    <w:rsid w:val="00E14B97"/>
    <w:rsid w:val="00E16EFD"/>
    <w:rsid w:val="00E2139B"/>
    <w:rsid w:val="00E26B28"/>
    <w:rsid w:val="00E301DA"/>
    <w:rsid w:val="00E30AD6"/>
    <w:rsid w:val="00E436F2"/>
    <w:rsid w:val="00E458AF"/>
    <w:rsid w:val="00E51436"/>
    <w:rsid w:val="00E52833"/>
    <w:rsid w:val="00E546C1"/>
    <w:rsid w:val="00E55C27"/>
    <w:rsid w:val="00E57F84"/>
    <w:rsid w:val="00E607A0"/>
    <w:rsid w:val="00E6258E"/>
    <w:rsid w:val="00E7065A"/>
    <w:rsid w:val="00E81E27"/>
    <w:rsid w:val="00E84D2E"/>
    <w:rsid w:val="00E8586E"/>
    <w:rsid w:val="00EA0074"/>
    <w:rsid w:val="00EA1B13"/>
    <w:rsid w:val="00EA2B8E"/>
    <w:rsid w:val="00EA7330"/>
    <w:rsid w:val="00EB4668"/>
    <w:rsid w:val="00EB77E1"/>
    <w:rsid w:val="00EC0377"/>
    <w:rsid w:val="00EC2680"/>
    <w:rsid w:val="00EC78D5"/>
    <w:rsid w:val="00ED0766"/>
    <w:rsid w:val="00ED2FFD"/>
    <w:rsid w:val="00ED7CA3"/>
    <w:rsid w:val="00EE0E06"/>
    <w:rsid w:val="00EE71FF"/>
    <w:rsid w:val="00EE7ED3"/>
    <w:rsid w:val="00EF142C"/>
    <w:rsid w:val="00EF2813"/>
    <w:rsid w:val="00EF4C9B"/>
    <w:rsid w:val="00F057BF"/>
    <w:rsid w:val="00F06E8F"/>
    <w:rsid w:val="00F10DA0"/>
    <w:rsid w:val="00F16101"/>
    <w:rsid w:val="00F26F94"/>
    <w:rsid w:val="00F27995"/>
    <w:rsid w:val="00F30FBA"/>
    <w:rsid w:val="00F35AD1"/>
    <w:rsid w:val="00F37B69"/>
    <w:rsid w:val="00F40E13"/>
    <w:rsid w:val="00F445FC"/>
    <w:rsid w:val="00F450D7"/>
    <w:rsid w:val="00F45542"/>
    <w:rsid w:val="00F55E64"/>
    <w:rsid w:val="00F56AEE"/>
    <w:rsid w:val="00F65377"/>
    <w:rsid w:val="00F6591A"/>
    <w:rsid w:val="00F67458"/>
    <w:rsid w:val="00F731CA"/>
    <w:rsid w:val="00F772FF"/>
    <w:rsid w:val="00F826F4"/>
    <w:rsid w:val="00F9670D"/>
    <w:rsid w:val="00FA104F"/>
    <w:rsid w:val="00FA163D"/>
    <w:rsid w:val="00FA22D4"/>
    <w:rsid w:val="00FA4BE9"/>
    <w:rsid w:val="00FA777B"/>
    <w:rsid w:val="00FA7E8E"/>
    <w:rsid w:val="00FB1C54"/>
    <w:rsid w:val="00FB21BF"/>
    <w:rsid w:val="00FB318D"/>
    <w:rsid w:val="00FB3599"/>
    <w:rsid w:val="00FB435E"/>
    <w:rsid w:val="00FC315A"/>
    <w:rsid w:val="00FC6FC8"/>
    <w:rsid w:val="00FD047D"/>
    <w:rsid w:val="00FD12DF"/>
    <w:rsid w:val="00FD621D"/>
    <w:rsid w:val="00FD7AF9"/>
    <w:rsid w:val="00FE567B"/>
    <w:rsid w:val="00FE7061"/>
    <w:rsid w:val="00FF0ED1"/>
    <w:rsid w:val="00FF6245"/>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50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3F8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3F86"/>
    <w:rPr>
      <w:sz w:val="18"/>
      <w:szCs w:val="18"/>
    </w:rPr>
  </w:style>
  <w:style w:type="paragraph" w:styleId="CommentSubject">
    <w:name w:val="annotation subject"/>
    <w:basedOn w:val="CommentText"/>
    <w:next w:val="CommentText"/>
    <w:link w:val="CommentSubjectChar"/>
    <w:uiPriority w:val="99"/>
    <w:semiHidden/>
    <w:unhideWhenUsed/>
    <w:rsid w:val="0017610E"/>
    <w:rPr>
      <w:b/>
      <w:bCs/>
      <w:sz w:val="20"/>
      <w:szCs w:val="20"/>
    </w:rPr>
  </w:style>
  <w:style w:type="character" w:customStyle="1" w:styleId="CommentSubjectChar">
    <w:name w:val="Comment Subject Char"/>
    <w:basedOn w:val="CommentTextChar"/>
    <w:link w:val="CommentSubject"/>
    <w:uiPriority w:val="99"/>
    <w:semiHidden/>
    <w:rsid w:val="0017610E"/>
    <w:rPr>
      <w:b/>
      <w:bCs/>
      <w:sz w:val="20"/>
      <w:szCs w:val="20"/>
    </w:rPr>
  </w:style>
  <w:style w:type="paragraph" w:styleId="ListParagraph">
    <w:name w:val="List Paragraph"/>
    <w:basedOn w:val="Normal"/>
    <w:uiPriority w:val="34"/>
    <w:qFormat/>
    <w:rsid w:val="00681AA7"/>
    <w:pPr>
      <w:ind w:left="720"/>
      <w:contextualSpacing/>
    </w:pPr>
  </w:style>
  <w:style w:type="paragraph" w:styleId="EndnoteText">
    <w:name w:val="endnote text"/>
    <w:basedOn w:val="Normal"/>
    <w:link w:val="EndnoteTextChar"/>
    <w:uiPriority w:val="99"/>
    <w:unhideWhenUsed/>
    <w:rsid w:val="00170CC7"/>
    <w:pPr>
      <w:spacing w:after="0" w:line="240" w:lineRule="auto"/>
    </w:pPr>
  </w:style>
  <w:style w:type="character" w:customStyle="1" w:styleId="EndnoteTextChar">
    <w:name w:val="Endnote Text Char"/>
    <w:basedOn w:val="DefaultParagraphFont"/>
    <w:link w:val="EndnoteText"/>
    <w:uiPriority w:val="99"/>
    <w:rsid w:val="00170CC7"/>
  </w:style>
  <w:style w:type="character" w:styleId="EndnoteReference">
    <w:name w:val="endnote reference"/>
    <w:basedOn w:val="DefaultParagraphFont"/>
    <w:uiPriority w:val="99"/>
    <w:unhideWhenUsed/>
    <w:rsid w:val="00170CC7"/>
    <w:rPr>
      <w:vertAlign w:val="superscript"/>
    </w:rPr>
  </w:style>
  <w:style w:type="paragraph" w:styleId="Revision">
    <w:name w:val="Revision"/>
    <w:hidden/>
    <w:uiPriority w:val="99"/>
    <w:semiHidden/>
    <w:rsid w:val="008E6A32"/>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FootnoteText">
    <w:name w:val="footnote text"/>
    <w:basedOn w:val="Normal"/>
    <w:link w:val="FootnoteTextChar"/>
    <w:uiPriority w:val="99"/>
    <w:unhideWhenUsed/>
    <w:rsid w:val="008833E3"/>
    <w:pPr>
      <w:spacing w:after="0" w:line="240" w:lineRule="auto"/>
    </w:pPr>
  </w:style>
  <w:style w:type="character" w:customStyle="1" w:styleId="FootnoteTextChar">
    <w:name w:val="Footnote Text Char"/>
    <w:basedOn w:val="DefaultParagraphFont"/>
    <w:link w:val="FootnoteText"/>
    <w:uiPriority w:val="99"/>
    <w:rsid w:val="008833E3"/>
  </w:style>
  <w:style w:type="character" w:styleId="FootnoteReference">
    <w:name w:val="footnote reference"/>
    <w:basedOn w:val="DefaultParagraphFont"/>
    <w:uiPriority w:val="99"/>
    <w:unhideWhenUsed/>
    <w:rsid w:val="00883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995">
      <w:bodyDiv w:val="1"/>
      <w:marLeft w:val="0"/>
      <w:marRight w:val="0"/>
      <w:marTop w:val="0"/>
      <w:marBottom w:val="0"/>
      <w:divBdr>
        <w:top w:val="none" w:sz="0" w:space="0" w:color="auto"/>
        <w:left w:val="none" w:sz="0" w:space="0" w:color="auto"/>
        <w:bottom w:val="none" w:sz="0" w:space="0" w:color="auto"/>
        <w:right w:val="none" w:sz="0" w:space="0" w:color="auto"/>
      </w:divBdr>
    </w:div>
    <w:div w:id="77219679">
      <w:bodyDiv w:val="1"/>
      <w:marLeft w:val="0"/>
      <w:marRight w:val="0"/>
      <w:marTop w:val="0"/>
      <w:marBottom w:val="0"/>
      <w:divBdr>
        <w:top w:val="none" w:sz="0" w:space="0" w:color="auto"/>
        <w:left w:val="none" w:sz="0" w:space="0" w:color="auto"/>
        <w:bottom w:val="none" w:sz="0" w:space="0" w:color="auto"/>
        <w:right w:val="none" w:sz="0" w:space="0" w:color="auto"/>
      </w:divBdr>
    </w:div>
    <w:div w:id="87897915">
      <w:bodyDiv w:val="1"/>
      <w:marLeft w:val="0"/>
      <w:marRight w:val="0"/>
      <w:marTop w:val="0"/>
      <w:marBottom w:val="0"/>
      <w:divBdr>
        <w:top w:val="none" w:sz="0" w:space="0" w:color="auto"/>
        <w:left w:val="none" w:sz="0" w:space="0" w:color="auto"/>
        <w:bottom w:val="none" w:sz="0" w:space="0" w:color="auto"/>
        <w:right w:val="none" w:sz="0" w:space="0" w:color="auto"/>
      </w:divBdr>
    </w:div>
    <w:div w:id="103886211">
      <w:bodyDiv w:val="1"/>
      <w:marLeft w:val="0"/>
      <w:marRight w:val="0"/>
      <w:marTop w:val="0"/>
      <w:marBottom w:val="0"/>
      <w:divBdr>
        <w:top w:val="none" w:sz="0" w:space="0" w:color="auto"/>
        <w:left w:val="none" w:sz="0" w:space="0" w:color="auto"/>
        <w:bottom w:val="none" w:sz="0" w:space="0" w:color="auto"/>
        <w:right w:val="none" w:sz="0" w:space="0" w:color="auto"/>
      </w:divBdr>
    </w:div>
    <w:div w:id="147478657">
      <w:bodyDiv w:val="1"/>
      <w:marLeft w:val="0"/>
      <w:marRight w:val="0"/>
      <w:marTop w:val="0"/>
      <w:marBottom w:val="0"/>
      <w:divBdr>
        <w:top w:val="none" w:sz="0" w:space="0" w:color="auto"/>
        <w:left w:val="none" w:sz="0" w:space="0" w:color="auto"/>
        <w:bottom w:val="none" w:sz="0" w:space="0" w:color="auto"/>
        <w:right w:val="none" w:sz="0" w:space="0" w:color="auto"/>
      </w:divBdr>
    </w:div>
    <w:div w:id="152453697">
      <w:bodyDiv w:val="1"/>
      <w:marLeft w:val="0"/>
      <w:marRight w:val="0"/>
      <w:marTop w:val="0"/>
      <w:marBottom w:val="0"/>
      <w:divBdr>
        <w:top w:val="none" w:sz="0" w:space="0" w:color="auto"/>
        <w:left w:val="none" w:sz="0" w:space="0" w:color="auto"/>
        <w:bottom w:val="none" w:sz="0" w:space="0" w:color="auto"/>
        <w:right w:val="none" w:sz="0" w:space="0" w:color="auto"/>
      </w:divBdr>
    </w:div>
    <w:div w:id="186601932">
      <w:bodyDiv w:val="1"/>
      <w:marLeft w:val="0"/>
      <w:marRight w:val="0"/>
      <w:marTop w:val="0"/>
      <w:marBottom w:val="0"/>
      <w:divBdr>
        <w:top w:val="none" w:sz="0" w:space="0" w:color="auto"/>
        <w:left w:val="none" w:sz="0" w:space="0" w:color="auto"/>
        <w:bottom w:val="none" w:sz="0" w:space="0" w:color="auto"/>
        <w:right w:val="none" w:sz="0" w:space="0" w:color="auto"/>
      </w:divBdr>
    </w:div>
    <w:div w:id="210307682">
      <w:bodyDiv w:val="1"/>
      <w:marLeft w:val="0"/>
      <w:marRight w:val="0"/>
      <w:marTop w:val="0"/>
      <w:marBottom w:val="0"/>
      <w:divBdr>
        <w:top w:val="none" w:sz="0" w:space="0" w:color="auto"/>
        <w:left w:val="none" w:sz="0" w:space="0" w:color="auto"/>
        <w:bottom w:val="none" w:sz="0" w:space="0" w:color="auto"/>
        <w:right w:val="none" w:sz="0" w:space="0" w:color="auto"/>
      </w:divBdr>
    </w:div>
    <w:div w:id="214243661">
      <w:bodyDiv w:val="1"/>
      <w:marLeft w:val="0"/>
      <w:marRight w:val="0"/>
      <w:marTop w:val="0"/>
      <w:marBottom w:val="0"/>
      <w:divBdr>
        <w:top w:val="none" w:sz="0" w:space="0" w:color="auto"/>
        <w:left w:val="none" w:sz="0" w:space="0" w:color="auto"/>
        <w:bottom w:val="none" w:sz="0" w:space="0" w:color="auto"/>
        <w:right w:val="none" w:sz="0" w:space="0" w:color="auto"/>
      </w:divBdr>
    </w:div>
    <w:div w:id="242102772">
      <w:bodyDiv w:val="1"/>
      <w:marLeft w:val="0"/>
      <w:marRight w:val="0"/>
      <w:marTop w:val="0"/>
      <w:marBottom w:val="0"/>
      <w:divBdr>
        <w:top w:val="none" w:sz="0" w:space="0" w:color="auto"/>
        <w:left w:val="none" w:sz="0" w:space="0" w:color="auto"/>
        <w:bottom w:val="none" w:sz="0" w:space="0" w:color="auto"/>
        <w:right w:val="none" w:sz="0" w:space="0" w:color="auto"/>
      </w:divBdr>
    </w:div>
    <w:div w:id="295570846">
      <w:bodyDiv w:val="1"/>
      <w:marLeft w:val="0"/>
      <w:marRight w:val="0"/>
      <w:marTop w:val="0"/>
      <w:marBottom w:val="0"/>
      <w:divBdr>
        <w:top w:val="none" w:sz="0" w:space="0" w:color="auto"/>
        <w:left w:val="none" w:sz="0" w:space="0" w:color="auto"/>
        <w:bottom w:val="none" w:sz="0" w:space="0" w:color="auto"/>
        <w:right w:val="none" w:sz="0" w:space="0" w:color="auto"/>
      </w:divBdr>
    </w:div>
    <w:div w:id="309092588">
      <w:bodyDiv w:val="1"/>
      <w:marLeft w:val="0"/>
      <w:marRight w:val="0"/>
      <w:marTop w:val="0"/>
      <w:marBottom w:val="0"/>
      <w:divBdr>
        <w:top w:val="none" w:sz="0" w:space="0" w:color="auto"/>
        <w:left w:val="none" w:sz="0" w:space="0" w:color="auto"/>
        <w:bottom w:val="none" w:sz="0" w:space="0" w:color="auto"/>
        <w:right w:val="none" w:sz="0" w:space="0" w:color="auto"/>
      </w:divBdr>
    </w:div>
    <w:div w:id="337389379">
      <w:bodyDiv w:val="1"/>
      <w:marLeft w:val="0"/>
      <w:marRight w:val="0"/>
      <w:marTop w:val="0"/>
      <w:marBottom w:val="0"/>
      <w:divBdr>
        <w:top w:val="none" w:sz="0" w:space="0" w:color="auto"/>
        <w:left w:val="none" w:sz="0" w:space="0" w:color="auto"/>
        <w:bottom w:val="none" w:sz="0" w:space="0" w:color="auto"/>
        <w:right w:val="none" w:sz="0" w:space="0" w:color="auto"/>
      </w:divBdr>
    </w:div>
    <w:div w:id="368147901">
      <w:bodyDiv w:val="1"/>
      <w:marLeft w:val="0"/>
      <w:marRight w:val="0"/>
      <w:marTop w:val="0"/>
      <w:marBottom w:val="0"/>
      <w:divBdr>
        <w:top w:val="none" w:sz="0" w:space="0" w:color="auto"/>
        <w:left w:val="none" w:sz="0" w:space="0" w:color="auto"/>
        <w:bottom w:val="none" w:sz="0" w:space="0" w:color="auto"/>
        <w:right w:val="none" w:sz="0" w:space="0" w:color="auto"/>
      </w:divBdr>
    </w:div>
    <w:div w:id="418449073">
      <w:bodyDiv w:val="1"/>
      <w:marLeft w:val="0"/>
      <w:marRight w:val="0"/>
      <w:marTop w:val="0"/>
      <w:marBottom w:val="0"/>
      <w:divBdr>
        <w:top w:val="none" w:sz="0" w:space="0" w:color="auto"/>
        <w:left w:val="none" w:sz="0" w:space="0" w:color="auto"/>
        <w:bottom w:val="none" w:sz="0" w:space="0" w:color="auto"/>
        <w:right w:val="none" w:sz="0" w:space="0" w:color="auto"/>
      </w:divBdr>
    </w:div>
    <w:div w:id="426926977">
      <w:bodyDiv w:val="1"/>
      <w:marLeft w:val="0"/>
      <w:marRight w:val="0"/>
      <w:marTop w:val="0"/>
      <w:marBottom w:val="0"/>
      <w:divBdr>
        <w:top w:val="none" w:sz="0" w:space="0" w:color="auto"/>
        <w:left w:val="none" w:sz="0" w:space="0" w:color="auto"/>
        <w:bottom w:val="none" w:sz="0" w:space="0" w:color="auto"/>
        <w:right w:val="none" w:sz="0" w:space="0" w:color="auto"/>
      </w:divBdr>
    </w:div>
    <w:div w:id="483932072">
      <w:bodyDiv w:val="1"/>
      <w:marLeft w:val="0"/>
      <w:marRight w:val="0"/>
      <w:marTop w:val="0"/>
      <w:marBottom w:val="0"/>
      <w:divBdr>
        <w:top w:val="none" w:sz="0" w:space="0" w:color="auto"/>
        <w:left w:val="none" w:sz="0" w:space="0" w:color="auto"/>
        <w:bottom w:val="none" w:sz="0" w:space="0" w:color="auto"/>
        <w:right w:val="none" w:sz="0" w:space="0" w:color="auto"/>
      </w:divBdr>
    </w:div>
    <w:div w:id="510416546">
      <w:bodyDiv w:val="1"/>
      <w:marLeft w:val="0"/>
      <w:marRight w:val="0"/>
      <w:marTop w:val="0"/>
      <w:marBottom w:val="0"/>
      <w:divBdr>
        <w:top w:val="none" w:sz="0" w:space="0" w:color="auto"/>
        <w:left w:val="none" w:sz="0" w:space="0" w:color="auto"/>
        <w:bottom w:val="none" w:sz="0" w:space="0" w:color="auto"/>
        <w:right w:val="none" w:sz="0" w:space="0" w:color="auto"/>
      </w:divBdr>
    </w:div>
    <w:div w:id="529996518">
      <w:bodyDiv w:val="1"/>
      <w:marLeft w:val="0"/>
      <w:marRight w:val="0"/>
      <w:marTop w:val="0"/>
      <w:marBottom w:val="0"/>
      <w:divBdr>
        <w:top w:val="none" w:sz="0" w:space="0" w:color="auto"/>
        <w:left w:val="none" w:sz="0" w:space="0" w:color="auto"/>
        <w:bottom w:val="none" w:sz="0" w:space="0" w:color="auto"/>
        <w:right w:val="none" w:sz="0" w:space="0" w:color="auto"/>
      </w:divBdr>
    </w:div>
    <w:div w:id="545679532">
      <w:bodyDiv w:val="1"/>
      <w:marLeft w:val="0"/>
      <w:marRight w:val="0"/>
      <w:marTop w:val="0"/>
      <w:marBottom w:val="0"/>
      <w:divBdr>
        <w:top w:val="none" w:sz="0" w:space="0" w:color="auto"/>
        <w:left w:val="none" w:sz="0" w:space="0" w:color="auto"/>
        <w:bottom w:val="none" w:sz="0" w:space="0" w:color="auto"/>
        <w:right w:val="none" w:sz="0" w:space="0" w:color="auto"/>
      </w:divBdr>
    </w:div>
    <w:div w:id="556479202">
      <w:bodyDiv w:val="1"/>
      <w:marLeft w:val="0"/>
      <w:marRight w:val="0"/>
      <w:marTop w:val="0"/>
      <w:marBottom w:val="0"/>
      <w:divBdr>
        <w:top w:val="none" w:sz="0" w:space="0" w:color="auto"/>
        <w:left w:val="none" w:sz="0" w:space="0" w:color="auto"/>
        <w:bottom w:val="none" w:sz="0" w:space="0" w:color="auto"/>
        <w:right w:val="none" w:sz="0" w:space="0" w:color="auto"/>
      </w:divBdr>
    </w:div>
    <w:div w:id="579411091">
      <w:bodyDiv w:val="1"/>
      <w:marLeft w:val="0"/>
      <w:marRight w:val="0"/>
      <w:marTop w:val="0"/>
      <w:marBottom w:val="0"/>
      <w:divBdr>
        <w:top w:val="none" w:sz="0" w:space="0" w:color="auto"/>
        <w:left w:val="none" w:sz="0" w:space="0" w:color="auto"/>
        <w:bottom w:val="none" w:sz="0" w:space="0" w:color="auto"/>
        <w:right w:val="none" w:sz="0" w:space="0" w:color="auto"/>
      </w:divBdr>
    </w:div>
    <w:div w:id="585844097">
      <w:bodyDiv w:val="1"/>
      <w:marLeft w:val="0"/>
      <w:marRight w:val="0"/>
      <w:marTop w:val="0"/>
      <w:marBottom w:val="0"/>
      <w:divBdr>
        <w:top w:val="none" w:sz="0" w:space="0" w:color="auto"/>
        <w:left w:val="none" w:sz="0" w:space="0" w:color="auto"/>
        <w:bottom w:val="none" w:sz="0" w:space="0" w:color="auto"/>
        <w:right w:val="none" w:sz="0" w:space="0" w:color="auto"/>
      </w:divBdr>
    </w:div>
    <w:div w:id="608466453">
      <w:bodyDiv w:val="1"/>
      <w:marLeft w:val="0"/>
      <w:marRight w:val="0"/>
      <w:marTop w:val="0"/>
      <w:marBottom w:val="0"/>
      <w:divBdr>
        <w:top w:val="none" w:sz="0" w:space="0" w:color="auto"/>
        <w:left w:val="none" w:sz="0" w:space="0" w:color="auto"/>
        <w:bottom w:val="none" w:sz="0" w:space="0" w:color="auto"/>
        <w:right w:val="none" w:sz="0" w:space="0" w:color="auto"/>
      </w:divBdr>
    </w:div>
    <w:div w:id="619803905">
      <w:bodyDiv w:val="1"/>
      <w:marLeft w:val="0"/>
      <w:marRight w:val="0"/>
      <w:marTop w:val="0"/>
      <w:marBottom w:val="0"/>
      <w:divBdr>
        <w:top w:val="none" w:sz="0" w:space="0" w:color="auto"/>
        <w:left w:val="none" w:sz="0" w:space="0" w:color="auto"/>
        <w:bottom w:val="none" w:sz="0" w:space="0" w:color="auto"/>
        <w:right w:val="none" w:sz="0" w:space="0" w:color="auto"/>
      </w:divBdr>
    </w:div>
    <w:div w:id="653022590">
      <w:bodyDiv w:val="1"/>
      <w:marLeft w:val="0"/>
      <w:marRight w:val="0"/>
      <w:marTop w:val="0"/>
      <w:marBottom w:val="0"/>
      <w:divBdr>
        <w:top w:val="none" w:sz="0" w:space="0" w:color="auto"/>
        <w:left w:val="none" w:sz="0" w:space="0" w:color="auto"/>
        <w:bottom w:val="none" w:sz="0" w:space="0" w:color="auto"/>
        <w:right w:val="none" w:sz="0" w:space="0" w:color="auto"/>
      </w:divBdr>
    </w:div>
    <w:div w:id="689719306">
      <w:bodyDiv w:val="1"/>
      <w:marLeft w:val="0"/>
      <w:marRight w:val="0"/>
      <w:marTop w:val="0"/>
      <w:marBottom w:val="0"/>
      <w:divBdr>
        <w:top w:val="none" w:sz="0" w:space="0" w:color="auto"/>
        <w:left w:val="none" w:sz="0" w:space="0" w:color="auto"/>
        <w:bottom w:val="none" w:sz="0" w:space="0" w:color="auto"/>
        <w:right w:val="none" w:sz="0" w:space="0" w:color="auto"/>
      </w:divBdr>
    </w:div>
    <w:div w:id="715853499">
      <w:bodyDiv w:val="1"/>
      <w:marLeft w:val="0"/>
      <w:marRight w:val="0"/>
      <w:marTop w:val="0"/>
      <w:marBottom w:val="0"/>
      <w:divBdr>
        <w:top w:val="none" w:sz="0" w:space="0" w:color="auto"/>
        <w:left w:val="none" w:sz="0" w:space="0" w:color="auto"/>
        <w:bottom w:val="none" w:sz="0" w:space="0" w:color="auto"/>
        <w:right w:val="none" w:sz="0" w:space="0" w:color="auto"/>
      </w:divBdr>
    </w:div>
    <w:div w:id="721447151">
      <w:bodyDiv w:val="1"/>
      <w:marLeft w:val="0"/>
      <w:marRight w:val="0"/>
      <w:marTop w:val="0"/>
      <w:marBottom w:val="0"/>
      <w:divBdr>
        <w:top w:val="none" w:sz="0" w:space="0" w:color="auto"/>
        <w:left w:val="none" w:sz="0" w:space="0" w:color="auto"/>
        <w:bottom w:val="none" w:sz="0" w:space="0" w:color="auto"/>
        <w:right w:val="none" w:sz="0" w:space="0" w:color="auto"/>
      </w:divBdr>
    </w:div>
    <w:div w:id="764883472">
      <w:bodyDiv w:val="1"/>
      <w:marLeft w:val="0"/>
      <w:marRight w:val="0"/>
      <w:marTop w:val="0"/>
      <w:marBottom w:val="0"/>
      <w:divBdr>
        <w:top w:val="none" w:sz="0" w:space="0" w:color="auto"/>
        <w:left w:val="none" w:sz="0" w:space="0" w:color="auto"/>
        <w:bottom w:val="none" w:sz="0" w:space="0" w:color="auto"/>
        <w:right w:val="none" w:sz="0" w:space="0" w:color="auto"/>
      </w:divBdr>
    </w:div>
    <w:div w:id="772550010">
      <w:bodyDiv w:val="1"/>
      <w:marLeft w:val="0"/>
      <w:marRight w:val="0"/>
      <w:marTop w:val="0"/>
      <w:marBottom w:val="0"/>
      <w:divBdr>
        <w:top w:val="none" w:sz="0" w:space="0" w:color="auto"/>
        <w:left w:val="none" w:sz="0" w:space="0" w:color="auto"/>
        <w:bottom w:val="none" w:sz="0" w:space="0" w:color="auto"/>
        <w:right w:val="none" w:sz="0" w:space="0" w:color="auto"/>
      </w:divBdr>
    </w:div>
    <w:div w:id="777454339">
      <w:bodyDiv w:val="1"/>
      <w:marLeft w:val="0"/>
      <w:marRight w:val="0"/>
      <w:marTop w:val="0"/>
      <w:marBottom w:val="0"/>
      <w:divBdr>
        <w:top w:val="none" w:sz="0" w:space="0" w:color="auto"/>
        <w:left w:val="none" w:sz="0" w:space="0" w:color="auto"/>
        <w:bottom w:val="none" w:sz="0" w:space="0" w:color="auto"/>
        <w:right w:val="none" w:sz="0" w:space="0" w:color="auto"/>
      </w:divBdr>
    </w:div>
    <w:div w:id="800000236">
      <w:bodyDiv w:val="1"/>
      <w:marLeft w:val="0"/>
      <w:marRight w:val="0"/>
      <w:marTop w:val="0"/>
      <w:marBottom w:val="0"/>
      <w:divBdr>
        <w:top w:val="none" w:sz="0" w:space="0" w:color="auto"/>
        <w:left w:val="none" w:sz="0" w:space="0" w:color="auto"/>
        <w:bottom w:val="none" w:sz="0" w:space="0" w:color="auto"/>
        <w:right w:val="none" w:sz="0" w:space="0" w:color="auto"/>
      </w:divBdr>
    </w:div>
    <w:div w:id="882903876">
      <w:bodyDiv w:val="1"/>
      <w:marLeft w:val="0"/>
      <w:marRight w:val="0"/>
      <w:marTop w:val="0"/>
      <w:marBottom w:val="0"/>
      <w:divBdr>
        <w:top w:val="none" w:sz="0" w:space="0" w:color="auto"/>
        <w:left w:val="none" w:sz="0" w:space="0" w:color="auto"/>
        <w:bottom w:val="none" w:sz="0" w:space="0" w:color="auto"/>
        <w:right w:val="none" w:sz="0" w:space="0" w:color="auto"/>
      </w:divBdr>
    </w:div>
    <w:div w:id="913589196">
      <w:bodyDiv w:val="1"/>
      <w:marLeft w:val="0"/>
      <w:marRight w:val="0"/>
      <w:marTop w:val="0"/>
      <w:marBottom w:val="0"/>
      <w:divBdr>
        <w:top w:val="none" w:sz="0" w:space="0" w:color="auto"/>
        <w:left w:val="none" w:sz="0" w:space="0" w:color="auto"/>
        <w:bottom w:val="none" w:sz="0" w:space="0" w:color="auto"/>
        <w:right w:val="none" w:sz="0" w:space="0" w:color="auto"/>
      </w:divBdr>
    </w:div>
    <w:div w:id="988945458">
      <w:bodyDiv w:val="1"/>
      <w:marLeft w:val="0"/>
      <w:marRight w:val="0"/>
      <w:marTop w:val="0"/>
      <w:marBottom w:val="0"/>
      <w:divBdr>
        <w:top w:val="none" w:sz="0" w:space="0" w:color="auto"/>
        <w:left w:val="none" w:sz="0" w:space="0" w:color="auto"/>
        <w:bottom w:val="none" w:sz="0" w:space="0" w:color="auto"/>
        <w:right w:val="none" w:sz="0" w:space="0" w:color="auto"/>
      </w:divBdr>
    </w:div>
    <w:div w:id="995913481">
      <w:bodyDiv w:val="1"/>
      <w:marLeft w:val="0"/>
      <w:marRight w:val="0"/>
      <w:marTop w:val="0"/>
      <w:marBottom w:val="0"/>
      <w:divBdr>
        <w:top w:val="none" w:sz="0" w:space="0" w:color="auto"/>
        <w:left w:val="none" w:sz="0" w:space="0" w:color="auto"/>
        <w:bottom w:val="none" w:sz="0" w:space="0" w:color="auto"/>
        <w:right w:val="none" w:sz="0" w:space="0" w:color="auto"/>
      </w:divBdr>
    </w:div>
    <w:div w:id="1002707674">
      <w:bodyDiv w:val="1"/>
      <w:marLeft w:val="0"/>
      <w:marRight w:val="0"/>
      <w:marTop w:val="0"/>
      <w:marBottom w:val="0"/>
      <w:divBdr>
        <w:top w:val="none" w:sz="0" w:space="0" w:color="auto"/>
        <w:left w:val="none" w:sz="0" w:space="0" w:color="auto"/>
        <w:bottom w:val="none" w:sz="0" w:space="0" w:color="auto"/>
        <w:right w:val="none" w:sz="0" w:space="0" w:color="auto"/>
      </w:divBdr>
    </w:div>
    <w:div w:id="1009991237">
      <w:bodyDiv w:val="1"/>
      <w:marLeft w:val="0"/>
      <w:marRight w:val="0"/>
      <w:marTop w:val="0"/>
      <w:marBottom w:val="0"/>
      <w:divBdr>
        <w:top w:val="none" w:sz="0" w:space="0" w:color="auto"/>
        <w:left w:val="none" w:sz="0" w:space="0" w:color="auto"/>
        <w:bottom w:val="none" w:sz="0" w:space="0" w:color="auto"/>
        <w:right w:val="none" w:sz="0" w:space="0" w:color="auto"/>
      </w:divBdr>
    </w:div>
    <w:div w:id="1055929900">
      <w:bodyDiv w:val="1"/>
      <w:marLeft w:val="0"/>
      <w:marRight w:val="0"/>
      <w:marTop w:val="0"/>
      <w:marBottom w:val="0"/>
      <w:divBdr>
        <w:top w:val="none" w:sz="0" w:space="0" w:color="auto"/>
        <w:left w:val="none" w:sz="0" w:space="0" w:color="auto"/>
        <w:bottom w:val="none" w:sz="0" w:space="0" w:color="auto"/>
        <w:right w:val="none" w:sz="0" w:space="0" w:color="auto"/>
      </w:divBdr>
    </w:div>
    <w:div w:id="1132791514">
      <w:bodyDiv w:val="1"/>
      <w:marLeft w:val="0"/>
      <w:marRight w:val="0"/>
      <w:marTop w:val="0"/>
      <w:marBottom w:val="0"/>
      <w:divBdr>
        <w:top w:val="none" w:sz="0" w:space="0" w:color="auto"/>
        <w:left w:val="none" w:sz="0" w:space="0" w:color="auto"/>
        <w:bottom w:val="none" w:sz="0" w:space="0" w:color="auto"/>
        <w:right w:val="none" w:sz="0" w:space="0" w:color="auto"/>
      </w:divBdr>
    </w:div>
    <w:div w:id="1168524289">
      <w:bodyDiv w:val="1"/>
      <w:marLeft w:val="0"/>
      <w:marRight w:val="0"/>
      <w:marTop w:val="0"/>
      <w:marBottom w:val="0"/>
      <w:divBdr>
        <w:top w:val="none" w:sz="0" w:space="0" w:color="auto"/>
        <w:left w:val="none" w:sz="0" w:space="0" w:color="auto"/>
        <w:bottom w:val="none" w:sz="0" w:space="0" w:color="auto"/>
        <w:right w:val="none" w:sz="0" w:space="0" w:color="auto"/>
      </w:divBdr>
    </w:div>
    <w:div w:id="1170829096">
      <w:bodyDiv w:val="1"/>
      <w:marLeft w:val="0"/>
      <w:marRight w:val="0"/>
      <w:marTop w:val="0"/>
      <w:marBottom w:val="0"/>
      <w:divBdr>
        <w:top w:val="none" w:sz="0" w:space="0" w:color="auto"/>
        <w:left w:val="none" w:sz="0" w:space="0" w:color="auto"/>
        <w:bottom w:val="none" w:sz="0" w:space="0" w:color="auto"/>
        <w:right w:val="none" w:sz="0" w:space="0" w:color="auto"/>
      </w:divBdr>
    </w:div>
    <w:div w:id="1183589430">
      <w:bodyDiv w:val="1"/>
      <w:marLeft w:val="0"/>
      <w:marRight w:val="0"/>
      <w:marTop w:val="0"/>
      <w:marBottom w:val="0"/>
      <w:divBdr>
        <w:top w:val="none" w:sz="0" w:space="0" w:color="auto"/>
        <w:left w:val="none" w:sz="0" w:space="0" w:color="auto"/>
        <w:bottom w:val="none" w:sz="0" w:space="0" w:color="auto"/>
        <w:right w:val="none" w:sz="0" w:space="0" w:color="auto"/>
      </w:divBdr>
    </w:div>
    <w:div w:id="1190491383">
      <w:bodyDiv w:val="1"/>
      <w:marLeft w:val="0"/>
      <w:marRight w:val="0"/>
      <w:marTop w:val="0"/>
      <w:marBottom w:val="0"/>
      <w:divBdr>
        <w:top w:val="none" w:sz="0" w:space="0" w:color="auto"/>
        <w:left w:val="none" w:sz="0" w:space="0" w:color="auto"/>
        <w:bottom w:val="none" w:sz="0" w:space="0" w:color="auto"/>
        <w:right w:val="none" w:sz="0" w:space="0" w:color="auto"/>
      </w:divBdr>
    </w:div>
    <w:div w:id="1193418030">
      <w:bodyDiv w:val="1"/>
      <w:marLeft w:val="0"/>
      <w:marRight w:val="0"/>
      <w:marTop w:val="0"/>
      <w:marBottom w:val="0"/>
      <w:divBdr>
        <w:top w:val="none" w:sz="0" w:space="0" w:color="auto"/>
        <w:left w:val="none" w:sz="0" w:space="0" w:color="auto"/>
        <w:bottom w:val="none" w:sz="0" w:space="0" w:color="auto"/>
        <w:right w:val="none" w:sz="0" w:space="0" w:color="auto"/>
      </w:divBdr>
    </w:div>
    <w:div w:id="1240603011">
      <w:bodyDiv w:val="1"/>
      <w:marLeft w:val="0"/>
      <w:marRight w:val="0"/>
      <w:marTop w:val="0"/>
      <w:marBottom w:val="0"/>
      <w:divBdr>
        <w:top w:val="none" w:sz="0" w:space="0" w:color="auto"/>
        <w:left w:val="none" w:sz="0" w:space="0" w:color="auto"/>
        <w:bottom w:val="none" w:sz="0" w:space="0" w:color="auto"/>
        <w:right w:val="none" w:sz="0" w:space="0" w:color="auto"/>
      </w:divBdr>
    </w:div>
    <w:div w:id="1253900985">
      <w:bodyDiv w:val="1"/>
      <w:marLeft w:val="0"/>
      <w:marRight w:val="0"/>
      <w:marTop w:val="0"/>
      <w:marBottom w:val="0"/>
      <w:divBdr>
        <w:top w:val="none" w:sz="0" w:space="0" w:color="auto"/>
        <w:left w:val="none" w:sz="0" w:space="0" w:color="auto"/>
        <w:bottom w:val="none" w:sz="0" w:space="0" w:color="auto"/>
        <w:right w:val="none" w:sz="0" w:space="0" w:color="auto"/>
      </w:divBdr>
    </w:div>
    <w:div w:id="1255288353">
      <w:bodyDiv w:val="1"/>
      <w:marLeft w:val="0"/>
      <w:marRight w:val="0"/>
      <w:marTop w:val="0"/>
      <w:marBottom w:val="0"/>
      <w:divBdr>
        <w:top w:val="none" w:sz="0" w:space="0" w:color="auto"/>
        <w:left w:val="none" w:sz="0" w:space="0" w:color="auto"/>
        <w:bottom w:val="none" w:sz="0" w:space="0" w:color="auto"/>
        <w:right w:val="none" w:sz="0" w:space="0" w:color="auto"/>
      </w:divBdr>
    </w:div>
    <w:div w:id="1266186944">
      <w:bodyDiv w:val="1"/>
      <w:marLeft w:val="0"/>
      <w:marRight w:val="0"/>
      <w:marTop w:val="0"/>
      <w:marBottom w:val="0"/>
      <w:divBdr>
        <w:top w:val="none" w:sz="0" w:space="0" w:color="auto"/>
        <w:left w:val="none" w:sz="0" w:space="0" w:color="auto"/>
        <w:bottom w:val="none" w:sz="0" w:space="0" w:color="auto"/>
        <w:right w:val="none" w:sz="0" w:space="0" w:color="auto"/>
      </w:divBdr>
    </w:div>
    <w:div w:id="1321928950">
      <w:bodyDiv w:val="1"/>
      <w:marLeft w:val="0"/>
      <w:marRight w:val="0"/>
      <w:marTop w:val="0"/>
      <w:marBottom w:val="0"/>
      <w:divBdr>
        <w:top w:val="none" w:sz="0" w:space="0" w:color="auto"/>
        <w:left w:val="none" w:sz="0" w:space="0" w:color="auto"/>
        <w:bottom w:val="none" w:sz="0" w:space="0" w:color="auto"/>
        <w:right w:val="none" w:sz="0" w:space="0" w:color="auto"/>
      </w:divBdr>
    </w:div>
    <w:div w:id="1325279668">
      <w:bodyDiv w:val="1"/>
      <w:marLeft w:val="0"/>
      <w:marRight w:val="0"/>
      <w:marTop w:val="0"/>
      <w:marBottom w:val="0"/>
      <w:divBdr>
        <w:top w:val="none" w:sz="0" w:space="0" w:color="auto"/>
        <w:left w:val="none" w:sz="0" w:space="0" w:color="auto"/>
        <w:bottom w:val="none" w:sz="0" w:space="0" w:color="auto"/>
        <w:right w:val="none" w:sz="0" w:space="0" w:color="auto"/>
      </w:divBdr>
    </w:div>
    <w:div w:id="1387294250">
      <w:bodyDiv w:val="1"/>
      <w:marLeft w:val="0"/>
      <w:marRight w:val="0"/>
      <w:marTop w:val="0"/>
      <w:marBottom w:val="0"/>
      <w:divBdr>
        <w:top w:val="none" w:sz="0" w:space="0" w:color="auto"/>
        <w:left w:val="none" w:sz="0" w:space="0" w:color="auto"/>
        <w:bottom w:val="none" w:sz="0" w:space="0" w:color="auto"/>
        <w:right w:val="none" w:sz="0" w:space="0" w:color="auto"/>
      </w:divBdr>
    </w:div>
    <w:div w:id="1405835767">
      <w:bodyDiv w:val="1"/>
      <w:marLeft w:val="0"/>
      <w:marRight w:val="0"/>
      <w:marTop w:val="0"/>
      <w:marBottom w:val="0"/>
      <w:divBdr>
        <w:top w:val="none" w:sz="0" w:space="0" w:color="auto"/>
        <w:left w:val="none" w:sz="0" w:space="0" w:color="auto"/>
        <w:bottom w:val="none" w:sz="0" w:space="0" w:color="auto"/>
        <w:right w:val="none" w:sz="0" w:space="0" w:color="auto"/>
      </w:divBdr>
    </w:div>
    <w:div w:id="1456605542">
      <w:bodyDiv w:val="1"/>
      <w:marLeft w:val="0"/>
      <w:marRight w:val="0"/>
      <w:marTop w:val="0"/>
      <w:marBottom w:val="0"/>
      <w:divBdr>
        <w:top w:val="none" w:sz="0" w:space="0" w:color="auto"/>
        <w:left w:val="none" w:sz="0" w:space="0" w:color="auto"/>
        <w:bottom w:val="none" w:sz="0" w:space="0" w:color="auto"/>
        <w:right w:val="none" w:sz="0" w:space="0" w:color="auto"/>
      </w:divBdr>
    </w:div>
    <w:div w:id="1481266419">
      <w:bodyDiv w:val="1"/>
      <w:marLeft w:val="0"/>
      <w:marRight w:val="0"/>
      <w:marTop w:val="0"/>
      <w:marBottom w:val="0"/>
      <w:divBdr>
        <w:top w:val="none" w:sz="0" w:space="0" w:color="auto"/>
        <w:left w:val="none" w:sz="0" w:space="0" w:color="auto"/>
        <w:bottom w:val="none" w:sz="0" w:space="0" w:color="auto"/>
        <w:right w:val="none" w:sz="0" w:space="0" w:color="auto"/>
      </w:divBdr>
    </w:div>
    <w:div w:id="1510869363">
      <w:bodyDiv w:val="1"/>
      <w:marLeft w:val="0"/>
      <w:marRight w:val="0"/>
      <w:marTop w:val="0"/>
      <w:marBottom w:val="0"/>
      <w:divBdr>
        <w:top w:val="none" w:sz="0" w:space="0" w:color="auto"/>
        <w:left w:val="none" w:sz="0" w:space="0" w:color="auto"/>
        <w:bottom w:val="none" w:sz="0" w:space="0" w:color="auto"/>
        <w:right w:val="none" w:sz="0" w:space="0" w:color="auto"/>
      </w:divBdr>
    </w:div>
    <w:div w:id="1517496680">
      <w:bodyDiv w:val="1"/>
      <w:marLeft w:val="0"/>
      <w:marRight w:val="0"/>
      <w:marTop w:val="0"/>
      <w:marBottom w:val="0"/>
      <w:divBdr>
        <w:top w:val="none" w:sz="0" w:space="0" w:color="auto"/>
        <w:left w:val="none" w:sz="0" w:space="0" w:color="auto"/>
        <w:bottom w:val="none" w:sz="0" w:space="0" w:color="auto"/>
        <w:right w:val="none" w:sz="0" w:space="0" w:color="auto"/>
      </w:divBdr>
    </w:div>
    <w:div w:id="1564104481">
      <w:bodyDiv w:val="1"/>
      <w:marLeft w:val="0"/>
      <w:marRight w:val="0"/>
      <w:marTop w:val="0"/>
      <w:marBottom w:val="0"/>
      <w:divBdr>
        <w:top w:val="none" w:sz="0" w:space="0" w:color="auto"/>
        <w:left w:val="none" w:sz="0" w:space="0" w:color="auto"/>
        <w:bottom w:val="none" w:sz="0" w:space="0" w:color="auto"/>
        <w:right w:val="none" w:sz="0" w:space="0" w:color="auto"/>
      </w:divBdr>
    </w:div>
    <w:div w:id="1620406024">
      <w:bodyDiv w:val="1"/>
      <w:marLeft w:val="0"/>
      <w:marRight w:val="0"/>
      <w:marTop w:val="0"/>
      <w:marBottom w:val="0"/>
      <w:divBdr>
        <w:top w:val="none" w:sz="0" w:space="0" w:color="auto"/>
        <w:left w:val="none" w:sz="0" w:space="0" w:color="auto"/>
        <w:bottom w:val="none" w:sz="0" w:space="0" w:color="auto"/>
        <w:right w:val="none" w:sz="0" w:space="0" w:color="auto"/>
      </w:divBdr>
    </w:div>
    <w:div w:id="1640108112">
      <w:bodyDiv w:val="1"/>
      <w:marLeft w:val="0"/>
      <w:marRight w:val="0"/>
      <w:marTop w:val="0"/>
      <w:marBottom w:val="0"/>
      <w:divBdr>
        <w:top w:val="none" w:sz="0" w:space="0" w:color="auto"/>
        <w:left w:val="none" w:sz="0" w:space="0" w:color="auto"/>
        <w:bottom w:val="none" w:sz="0" w:space="0" w:color="auto"/>
        <w:right w:val="none" w:sz="0" w:space="0" w:color="auto"/>
      </w:divBdr>
    </w:div>
    <w:div w:id="1646618931">
      <w:bodyDiv w:val="1"/>
      <w:marLeft w:val="0"/>
      <w:marRight w:val="0"/>
      <w:marTop w:val="0"/>
      <w:marBottom w:val="0"/>
      <w:divBdr>
        <w:top w:val="none" w:sz="0" w:space="0" w:color="auto"/>
        <w:left w:val="none" w:sz="0" w:space="0" w:color="auto"/>
        <w:bottom w:val="none" w:sz="0" w:space="0" w:color="auto"/>
        <w:right w:val="none" w:sz="0" w:space="0" w:color="auto"/>
      </w:divBdr>
    </w:div>
    <w:div w:id="1669137628">
      <w:bodyDiv w:val="1"/>
      <w:marLeft w:val="0"/>
      <w:marRight w:val="0"/>
      <w:marTop w:val="0"/>
      <w:marBottom w:val="0"/>
      <w:divBdr>
        <w:top w:val="none" w:sz="0" w:space="0" w:color="auto"/>
        <w:left w:val="none" w:sz="0" w:space="0" w:color="auto"/>
        <w:bottom w:val="none" w:sz="0" w:space="0" w:color="auto"/>
        <w:right w:val="none" w:sz="0" w:space="0" w:color="auto"/>
      </w:divBdr>
    </w:div>
    <w:div w:id="1674795444">
      <w:bodyDiv w:val="1"/>
      <w:marLeft w:val="0"/>
      <w:marRight w:val="0"/>
      <w:marTop w:val="0"/>
      <w:marBottom w:val="0"/>
      <w:divBdr>
        <w:top w:val="none" w:sz="0" w:space="0" w:color="auto"/>
        <w:left w:val="none" w:sz="0" w:space="0" w:color="auto"/>
        <w:bottom w:val="none" w:sz="0" w:space="0" w:color="auto"/>
        <w:right w:val="none" w:sz="0" w:space="0" w:color="auto"/>
      </w:divBdr>
    </w:div>
    <w:div w:id="1708485640">
      <w:bodyDiv w:val="1"/>
      <w:marLeft w:val="0"/>
      <w:marRight w:val="0"/>
      <w:marTop w:val="0"/>
      <w:marBottom w:val="0"/>
      <w:divBdr>
        <w:top w:val="none" w:sz="0" w:space="0" w:color="auto"/>
        <w:left w:val="none" w:sz="0" w:space="0" w:color="auto"/>
        <w:bottom w:val="none" w:sz="0" w:space="0" w:color="auto"/>
        <w:right w:val="none" w:sz="0" w:space="0" w:color="auto"/>
      </w:divBdr>
    </w:div>
    <w:div w:id="1723553871">
      <w:bodyDiv w:val="1"/>
      <w:marLeft w:val="0"/>
      <w:marRight w:val="0"/>
      <w:marTop w:val="0"/>
      <w:marBottom w:val="0"/>
      <w:divBdr>
        <w:top w:val="none" w:sz="0" w:space="0" w:color="auto"/>
        <w:left w:val="none" w:sz="0" w:space="0" w:color="auto"/>
        <w:bottom w:val="none" w:sz="0" w:space="0" w:color="auto"/>
        <w:right w:val="none" w:sz="0" w:space="0" w:color="auto"/>
      </w:divBdr>
    </w:div>
    <w:div w:id="1796214482">
      <w:bodyDiv w:val="1"/>
      <w:marLeft w:val="0"/>
      <w:marRight w:val="0"/>
      <w:marTop w:val="0"/>
      <w:marBottom w:val="0"/>
      <w:divBdr>
        <w:top w:val="none" w:sz="0" w:space="0" w:color="auto"/>
        <w:left w:val="none" w:sz="0" w:space="0" w:color="auto"/>
        <w:bottom w:val="none" w:sz="0" w:space="0" w:color="auto"/>
        <w:right w:val="none" w:sz="0" w:space="0" w:color="auto"/>
      </w:divBdr>
    </w:div>
    <w:div w:id="1824085091">
      <w:bodyDiv w:val="1"/>
      <w:marLeft w:val="0"/>
      <w:marRight w:val="0"/>
      <w:marTop w:val="0"/>
      <w:marBottom w:val="0"/>
      <w:divBdr>
        <w:top w:val="none" w:sz="0" w:space="0" w:color="auto"/>
        <w:left w:val="none" w:sz="0" w:space="0" w:color="auto"/>
        <w:bottom w:val="none" w:sz="0" w:space="0" w:color="auto"/>
        <w:right w:val="none" w:sz="0" w:space="0" w:color="auto"/>
      </w:divBdr>
    </w:div>
    <w:div w:id="1827937866">
      <w:bodyDiv w:val="1"/>
      <w:marLeft w:val="0"/>
      <w:marRight w:val="0"/>
      <w:marTop w:val="0"/>
      <w:marBottom w:val="0"/>
      <w:divBdr>
        <w:top w:val="none" w:sz="0" w:space="0" w:color="auto"/>
        <w:left w:val="none" w:sz="0" w:space="0" w:color="auto"/>
        <w:bottom w:val="none" w:sz="0" w:space="0" w:color="auto"/>
        <w:right w:val="none" w:sz="0" w:space="0" w:color="auto"/>
      </w:divBdr>
    </w:div>
    <w:div w:id="1860926081">
      <w:bodyDiv w:val="1"/>
      <w:marLeft w:val="0"/>
      <w:marRight w:val="0"/>
      <w:marTop w:val="0"/>
      <w:marBottom w:val="0"/>
      <w:divBdr>
        <w:top w:val="none" w:sz="0" w:space="0" w:color="auto"/>
        <w:left w:val="none" w:sz="0" w:space="0" w:color="auto"/>
        <w:bottom w:val="none" w:sz="0" w:space="0" w:color="auto"/>
        <w:right w:val="none" w:sz="0" w:space="0" w:color="auto"/>
      </w:divBdr>
    </w:div>
    <w:div w:id="1930774229">
      <w:bodyDiv w:val="1"/>
      <w:marLeft w:val="0"/>
      <w:marRight w:val="0"/>
      <w:marTop w:val="0"/>
      <w:marBottom w:val="0"/>
      <w:divBdr>
        <w:top w:val="none" w:sz="0" w:space="0" w:color="auto"/>
        <w:left w:val="none" w:sz="0" w:space="0" w:color="auto"/>
        <w:bottom w:val="none" w:sz="0" w:space="0" w:color="auto"/>
        <w:right w:val="none" w:sz="0" w:space="0" w:color="auto"/>
      </w:divBdr>
    </w:div>
    <w:div w:id="2018001607">
      <w:bodyDiv w:val="1"/>
      <w:marLeft w:val="0"/>
      <w:marRight w:val="0"/>
      <w:marTop w:val="0"/>
      <w:marBottom w:val="0"/>
      <w:divBdr>
        <w:top w:val="none" w:sz="0" w:space="0" w:color="auto"/>
        <w:left w:val="none" w:sz="0" w:space="0" w:color="auto"/>
        <w:bottom w:val="none" w:sz="0" w:space="0" w:color="auto"/>
        <w:right w:val="none" w:sz="0" w:space="0" w:color="auto"/>
      </w:divBdr>
    </w:div>
    <w:div w:id="2024548996">
      <w:bodyDiv w:val="1"/>
      <w:marLeft w:val="0"/>
      <w:marRight w:val="0"/>
      <w:marTop w:val="0"/>
      <w:marBottom w:val="0"/>
      <w:divBdr>
        <w:top w:val="none" w:sz="0" w:space="0" w:color="auto"/>
        <w:left w:val="none" w:sz="0" w:space="0" w:color="auto"/>
        <w:bottom w:val="none" w:sz="0" w:space="0" w:color="auto"/>
        <w:right w:val="none" w:sz="0" w:space="0" w:color="auto"/>
      </w:divBdr>
    </w:div>
    <w:div w:id="2069257324">
      <w:bodyDiv w:val="1"/>
      <w:marLeft w:val="0"/>
      <w:marRight w:val="0"/>
      <w:marTop w:val="0"/>
      <w:marBottom w:val="0"/>
      <w:divBdr>
        <w:top w:val="none" w:sz="0" w:space="0" w:color="auto"/>
        <w:left w:val="none" w:sz="0" w:space="0" w:color="auto"/>
        <w:bottom w:val="none" w:sz="0" w:space="0" w:color="auto"/>
        <w:right w:val="none" w:sz="0" w:space="0" w:color="auto"/>
      </w:divBdr>
    </w:div>
    <w:div w:id="2070688241">
      <w:bodyDiv w:val="1"/>
      <w:marLeft w:val="0"/>
      <w:marRight w:val="0"/>
      <w:marTop w:val="0"/>
      <w:marBottom w:val="0"/>
      <w:divBdr>
        <w:top w:val="none" w:sz="0" w:space="0" w:color="auto"/>
        <w:left w:val="none" w:sz="0" w:space="0" w:color="auto"/>
        <w:bottom w:val="none" w:sz="0" w:space="0" w:color="auto"/>
        <w:right w:val="none" w:sz="0" w:space="0" w:color="auto"/>
      </w:divBdr>
    </w:div>
    <w:div w:id="210614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46</Pages>
  <Words>13185</Words>
  <Characters>75160</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michellekacz@gmail.com</dc:creator>
  <cp:keywords/>
  <dc:description/>
  <cp:lastModifiedBy>michellekacz@gmail.com</cp:lastModifiedBy>
  <cp:revision>11</cp:revision>
  <dcterms:created xsi:type="dcterms:W3CDTF">2018-01-15T02:04:00Z</dcterms:created>
  <dcterms:modified xsi:type="dcterms:W3CDTF">2018-01-31T03:13:00Z</dcterms:modified>
</cp:coreProperties>
</file>